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9C0" w:rsidRPr="0044535A" w:rsidRDefault="005F39C0" w:rsidP="00664954">
      <w:pPr>
        <w:pStyle w:val="NormalWeb"/>
        <w:shd w:val="clear" w:color="auto" w:fill="FFFFFF"/>
        <w:rPr>
          <w:rFonts w:asciiTheme="minorHAnsi" w:hAnsiTheme="minorHAnsi" w:cstheme="minorHAnsi"/>
          <w:b/>
          <w:color w:val="212529"/>
          <w:sz w:val="22"/>
          <w:szCs w:val="22"/>
          <w:lang w:val="tr-TR"/>
        </w:rPr>
      </w:pPr>
    </w:p>
    <w:p w:rsidR="00664954" w:rsidRPr="0044535A" w:rsidRDefault="00664954" w:rsidP="00664954">
      <w:pPr>
        <w:pStyle w:val="NormalWeb"/>
        <w:shd w:val="clear" w:color="auto" w:fill="FFFFFF"/>
        <w:rPr>
          <w:rFonts w:asciiTheme="minorHAnsi" w:hAnsiTheme="minorHAnsi" w:cstheme="minorHAnsi"/>
          <w:b/>
          <w:color w:val="212529"/>
          <w:sz w:val="22"/>
          <w:szCs w:val="22"/>
          <w:lang w:val="tr-TR"/>
        </w:rPr>
      </w:pPr>
      <w:r w:rsidRPr="0044535A">
        <w:rPr>
          <w:rFonts w:asciiTheme="minorHAnsi" w:hAnsiTheme="minorHAnsi" w:cstheme="minorHAnsi"/>
          <w:b/>
          <w:color w:val="212529"/>
          <w:sz w:val="22"/>
          <w:szCs w:val="22"/>
          <w:lang w:val="tr-TR"/>
        </w:rPr>
        <w:t>Sergi Metinleri</w:t>
      </w:r>
    </w:p>
    <w:p w:rsidR="00664954" w:rsidRPr="0044535A" w:rsidRDefault="00664954" w:rsidP="00664954">
      <w:pPr>
        <w:pStyle w:val="NormalWeb"/>
        <w:shd w:val="clear" w:color="auto" w:fill="FFFFFF"/>
        <w:rPr>
          <w:rFonts w:asciiTheme="minorHAnsi" w:hAnsiTheme="minorHAnsi" w:cstheme="minorHAnsi"/>
          <w:b/>
          <w:color w:val="212529"/>
          <w:sz w:val="28"/>
          <w:szCs w:val="28"/>
          <w:lang w:val="tr-TR"/>
        </w:rPr>
      </w:pPr>
      <w:r w:rsidRPr="0044535A">
        <w:rPr>
          <w:rFonts w:asciiTheme="minorHAnsi" w:hAnsiTheme="minorHAnsi" w:cstheme="minorHAnsi"/>
          <w:b/>
          <w:color w:val="212529"/>
          <w:sz w:val="28"/>
          <w:szCs w:val="28"/>
          <w:lang w:val="tr-TR"/>
        </w:rPr>
        <w:t>Ağırlık ve Ölçü Sanatı</w:t>
      </w:r>
      <w:r w:rsidRPr="0044535A">
        <w:rPr>
          <w:rFonts w:asciiTheme="minorHAnsi" w:hAnsiTheme="minorHAnsi" w:cstheme="minorHAnsi"/>
          <w:b/>
          <w:color w:val="212529"/>
          <w:sz w:val="28"/>
          <w:szCs w:val="28"/>
          <w:lang w:val="tr-TR"/>
        </w:rPr>
        <w:br/>
        <w:t>Suna ve İnan Kıraç Vakfı Anadolu Ağırlık ve Ölçüleri Koleksiyonu</w:t>
      </w:r>
    </w:p>
    <w:p w:rsidR="00664954" w:rsidRPr="0044535A" w:rsidRDefault="00664954" w:rsidP="00664954">
      <w:pPr>
        <w:pStyle w:val="NormalWeb"/>
        <w:shd w:val="clear" w:color="auto" w:fill="FFFFFF"/>
        <w:spacing w:before="0" w:beforeAutospacing="0"/>
        <w:jc w:val="both"/>
        <w:rPr>
          <w:rFonts w:asciiTheme="minorHAnsi" w:hAnsiTheme="minorHAnsi" w:cstheme="minorHAnsi"/>
          <w:color w:val="212529"/>
          <w:sz w:val="22"/>
          <w:szCs w:val="22"/>
          <w:lang w:val="tr-TR"/>
        </w:rPr>
      </w:pPr>
      <w:r w:rsidRPr="0044535A">
        <w:rPr>
          <w:rFonts w:asciiTheme="minorHAnsi" w:hAnsiTheme="minorHAnsi" w:cstheme="minorHAnsi"/>
          <w:color w:val="212529"/>
          <w:sz w:val="22"/>
          <w:szCs w:val="22"/>
          <w:lang w:val="tr-TR"/>
        </w:rPr>
        <w:t>Ölçme ve tartma eylemlerine dair kavramlar üretmek, dünyayla hem pratik hem de felsefi bir ilişki geliştirmek anlamına geliyordu. Antik uygarlıklar Mezopotamya’nın bereketli topraklarında yetişen tohumlardan yola çıkarak ağırlık birimlerinin temelini atarken, ölçmeye dair gözlemleriyle uygarlıklarının gelişimine ortam hazırladı. MÖ 2. binyıl Mezopotamya’dan Anadolu’ya uzanan ticaret yollar</w:t>
      </w:r>
      <w:bookmarkStart w:id="0" w:name="_GoBack"/>
      <w:bookmarkEnd w:id="0"/>
      <w:r w:rsidRPr="0044535A">
        <w:rPr>
          <w:rFonts w:asciiTheme="minorHAnsi" w:hAnsiTheme="minorHAnsi" w:cstheme="minorHAnsi"/>
          <w:color w:val="212529"/>
          <w:sz w:val="22"/>
          <w:szCs w:val="22"/>
          <w:lang w:val="tr-TR"/>
        </w:rPr>
        <w:t>ıyla, keşfin sınırlarının genişlemesine şahit oldu. </w:t>
      </w:r>
    </w:p>
    <w:p w:rsidR="00664954" w:rsidRPr="0044535A" w:rsidRDefault="00664954" w:rsidP="00664954">
      <w:pPr>
        <w:pStyle w:val="NormalWeb"/>
        <w:shd w:val="clear" w:color="auto" w:fill="FFFFFF"/>
        <w:spacing w:before="0" w:beforeAutospacing="0"/>
        <w:jc w:val="both"/>
        <w:rPr>
          <w:rFonts w:asciiTheme="minorHAnsi" w:hAnsiTheme="minorHAnsi" w:cstheme="minorHAnsi"/>
          <w:color w:val="212529"/>
          <w:sz w:val="22"/>
          <w:szCs w:val="22"/>
          <w:lang w:val="tr-TR"/>
        </w:rPr>
      </w:pPr>
      <w:r w:rsidRPr="0044535A">
        <w:rPr>
          <w:rFonts w:asciiTheme="minorHAnsi" w:hAnsiTheme="minorHAnsi" w:cstheme="minorHAnsi"/>
          <w:color w:val="212529"/>
          <w:sz w:val="22"/>
          <w:szCs w:val="22"/>
          <w:lang w:val="tr-TR"/>
        </w:rPr>
        <w:t>Ölçmenin ve tartmanın hassasiyetine dair merak devam ettikçe, mitler de tanrıların dünyasından fanilerinkine yönelmiş, doğruluk ve adalet gibi kavramlar terazi kefelerinin dengesiyle bağdaştırılmıştı. Antik Mısır’da ölülerin günahları terazide tartılırken, Antik Yunan ve Roma kültürlerinde ise teraziler, adaletin simgesi tanrı ve tanrıçaların tasvirlerinde vazgeçilmez unsurlardı. Bizans toplumunda da adil veya doğru tartma güçlü bir ahlaki anlam taşırdı ve ruhların tartılmasını akıllara getirirdi. Osmanlı İmparatorluğu’nda ise eksiksiz tartmak, ticarette olduğu kadar inanç bağlamında da güvenin temellerini atan bir imge olarak ortaya çıkmıştı.</w:t>
      </w:r>
    </w:p>
    <w:p w:rsidR="00664954" w:rsidRPr="0044535A" w:rsidRDefault="00664954" w:rsidP="00664954">
      <w:pPr>
        <w:pStyle w:val="NormalWeb"/>
        <w:shd w:val="clear" w:color="auto" w:fill="FFFFFF"/>
        <w:spacing w:before="0" w:beforeAutospacing="0"/>
        <w:jc w:val="both"/>
        <w:rPr>
          <w:rFonts w:asciiTheme="minorHAnsi" w:hAnsiTheme="minorHAnsi" w:cstheme="minorHAnsi"/>
          <w:color w:val="212529"/>
          <w:sz w:val="22"/>
          <w:szCs w:val="22"/>
          <w:lang w:val="tr-TR"/>
        </w:rPr>
      </w:pPr>
      <w:r w:rsidRPr="0044535A">
        <w:rPr>
          <w:rFonts w:asciiTheme="minorHAnsi" w:hAnsiTheme="minorHAnsi" w:cstheme="minorHAnsi"/>
          <w:color w:val="212529"/>
          <w:sz w:val="22"/>
          <w:szCs w:val="22"/>
          <w:lang w:val="tr-TR"/>
        </w:rPr>
        <w:t xml:space="preserve">“İnsan her şeyin, var olan şeylerin var olduklarının ve var olmayan şeylerin var olmadıklarının, ölçüsüdür” der </w:t>
      </w:r>
      <w:proofErr w:type="spellStart"/>
      <w:r w:rsidRPr="0044535A">
        <w:rPr>
          <w:rFonts w:asciiTheme="minorHAnsi" w:hAnsiTheme="minorHAnsi" w:cstheme="minorHAnsi"/>
          <w:color w:val="212529"/>
          <w:sz w:val="22"/>
          <w:szCs w:val="22"/>
          <w:lang w:val="tr-TR"/>
        </w:rPr>
        <w:t>Protagoras</w:t>
      </w:r>
      <w:proofErr w:type="spellEnd"/>
      <w:r w:rsidRPr="0044535A">
        <w:rPr>
          <w:rFonts w:asciiTheme="minorHAnsi" w:hAnsiTheme="minorHAnsi" w:cstheme="minorHAnsi"/>
          <w:color w:val="212529"/>
          <w:sz w:val="22"/>
          <w:szCs w:val="22"/>
          <w:lang w:val="tr-TR"/>
        </w:rPr>
        <w:t>. Dünyayı bir avuç birimle ölçmeye çalışmak onu zihnen inşa edebilmeyi de beraberinde getirdi. Keşfin ölçüsü mitlere karıştıkça, ölçmek ve tartmak fiziksel bir deneyimin ötesinde bilimin, kâinatın ve bilinenin ötesini merak eden insanın, kendini ifade etme becerisinin önemli bir aracı oldu.  </w:t>
      </w:r>
    </w:p>
    <w:p w:rsidR="00664954" w:rsidRPr="0044535A" w:rsidRDefault="00664954" w:rsidP="00664954">
      <w:pPr>
        <w:pStyle w:val="NormalWeb"/>
        <w:shd w:val="clear" w:color="auto" w:fill="FFFFFF"/>
        <w:spacing w:before="0" w:beforeAutospacing="0"/>
        <w:jc w:val="both"/>
        <w:rPr>
          <w:rFonts w:asciiTheme="minorHAnsi" w:hAnsiTheme="minorHAnsi" w:cstheme="minorHAnsi"/>
          <w:color w:val="212529"/>
          <w:sz w:val="22"/>
          <w:szCs w:val="22"/>
          <w:lang w:val="tr-TR"/>
        </w:rPr>
      </w:pPr>
      <w:proofErr w:type="gramStart"/>
      <w:r w:rsidRPr="0044535A">
        <w:rPr>
          <w:rStyle w:val="Vurgu"/>
          <w:rFonts w:asciiTheme="minorHAnsi" w:hAnsiTheme="minorHAnsi" w:cstheme="minorHAnsi"/>
          <w:color w:val="212529"/>
          <w:sz w:val="22"/>
          <w:szCs w:val="22"/>
          <w:lang w:val="tr-TR"/>
        </w:rPr>
        <w:t>Ağırlık ve Ölçü Sanatı</w:t>
      </w:r>
      <w:r w:rsidRPr="0044535A">
        <w:rPr>
          <w:rFonts w:asciiTheme="minorHAnsi" w:hAnsiTheme="minorHAnsi" w:cstheme="minorHAnsi"/>
          <w:color w:val="212529"/>
          <w:sz w:val="22"/>
          <w:szCs w:val="22"/>
          <w:lang w:val="tr-TR"/>
        </w:rPr>
        <w:t>, </w:t>
      </w:r>
      <w:r w:rsidRPr="0044535A">
        <w:rPr>
          <w:rStyle w:val="Vurgu"/>
          <w:rFonts w:asciiTheme="minorHAnsi" w:hAnsiTheme="minorHAnsi" w:cstheme="minorHAnsi"/>
          <w:color w:val="212529"/>
          <w:sz w:val="22"/>
          <w:szCs w:val="22"/>
          <w:lang w:val="tr-TR"/>
        </w:rPr>
        <w:t>Suna ve İnan Kıraç Vakfı Anadolu Ağırlık ve Ölçüleri Koleksiyonu</w:t>
      </w:r>
      <w:r w:rsidRPr="0044535A">
        <w:rPr>
          <w:rFonts w:asciiTheme="minorHAnsi" w:hAnsiTheme="minorHAnsi" w:cstheme="minorHAnsi"/>
          <w:color w:val="212529"/>
          <w:sz w:val="22"/>
          <w:szCs w:val="22"/>
          <w:lang w:val="tr-TR"/>
        </w:rPr>
        <w:t>’ndan yapılan bu seçkiyle ağırlık ve ölçü aletleri etrafında şekillenen ekonomiyi, kültürü, kültürlerarası sistem ilişkilerini, toplumsal güven dinamiklerini ve birimlerin standartlaşmasının yolculuğunu, MÖ 2. binyıldan günümüze uzanan bir süreçte uygarlıkların, tanrıların, tüccarların, usta ve çırakların gözünden keşfetmeyi amaçlıyor, dönüşümlerin ve sürekliliklerin izlenmesine olanak veriyor.</w:t>
      </w:r>
      <w:proofErr w:type="gramEnd"/>
    </w:p>
    <w:p w:rsidR="00664954" w:rsidRPr="0044535A" w:rsidRDefault="00664954" w:rsidP="00664954">
      <w:pPr>
        <w:spacing w:line="240" w:lineRule="auto"/>
        <w:rPr>
          <w:rFonts w:asciiTheme="minorHAnsi" w:hAnsiTheme="minorHAnsi" w:cstheme="minorHAnsi"/>
          <w:b/>
        </w:rPr>
      </w:pPr>
      <w:r w:rsidRPr="0044535A">
        <w:rPr>
          <w:rFonts w:asciiTheme="minorHAnsi" w:hAnsiTheme="minorHAnsi" w:cstheme="minorHAnsi"/>
          <w:b/>
        </w:rPr>
        <w:t xml:space="preserve">Tohumlar ve Metaforlar </w:t>
      </w:r>
    </w:p>
    <w:p w:rsidR="00F90D98"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 xml:space="preserve">Eski Yakındoğu’da tartmak ne kadar basit bir eylemse, ölçmek için birimler üretmeye çalışmak o kadar karmaşık bir kavramsal adımdı. Mezopotamya uygarlıkları gündelik pratiklerinden yola çıkarak, arpa tanesini temel alan ağırlık birimlerinin temellerini atmıştı. Mısırlılar ise yaşamın sınırlarını aşıp, ölümden sonraki hayatı anlamlandırmak için ölenlerin ruhlarını tartma </w:t>
      </w:r>
      <w:proofErr w:type="gramStart"/>
      <w:r w:rsidRPr="0044535A">
        <w:rPr>
          <w:rFonts w:asciiTheme="minorHAnsi" w:hAnsiTheme="minorHAnsi" w:cstheme="minorHAnsi"/>
        </w:rPr>
        <w:t>metaforunu</w:t>
      </w:r>
      <w:proofErr w:type="gramEnd"/>
      <w:r w:rsidRPr="0044535A">
        <w:rPr>
          <w:rFonts w:asciiTheme="minorHAnsi" w:hAnsiTheme="minorHAnsi" w:cstheme="minorHAnsi"/>
        </w:rPr>
        <w:t xml:space="preserve"> kullanmışlardı. Ölçemediğini anlamak binlerce yıl önce de zor bir işti.</w:t>
      </w:r>
    </w:p>
    <w:p w:rsidR="00664954" w:rsidRPr="0044535A" w:rsidRDefault="00664954" w:rsidP="00664954">
      <w:pPr>
        <w:spacing w:line="240" w:lineRule="auto"/>
        <w:jc w:val="both"/>
        <w:rPr>
          <w:rFonts w:asciiTheme="minorHAnsi" w:hAnsiTheme="minorHAnsi" w:cstheme="minorHAnsi"/>
          <w:b/>
        </w:rPr>
      </w:pPr>
      <w:r w:rsidRPr="0044535A">
        <w:rPr>
          <w:rFonts w:asciiTheme="minorHAnsi" w:hAnsiTheme="minorHAnsi" w:cstheme="minorHAnsi"/>
          <w:b/>
        </w:rPr>
        <w:t>Düşüş ve Yeniden Doğuş: Antik Çağ’da Anadolu</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 xml:space="preserve">MÖ 1200 yılı Geç Tunç Çağı medeniyetlerinin çöküşüne şahit oldu. Bu süreç Anadolu’da Hititlerin, Suriye ve Kuzey Mezopotamya’da Asur İmparatorluğu’nun ve anakara Yunanistan’da </w:t>
      </w:r>
      <w:proofErr w:type="spellStart"/>
      <w:r w:rsidRPr="0044535A">
        <w:rPr>
          <w:rFonts w:asciiTheme="minorHAnsi" w:hAnsiTheme="minorHAnsi" w:cstheme="minorHAnsi"/>
        </w:rPr>
        <w:t>Miken</w:t>
      </w:r>
      <w:proofErr w:type="spellEnd"/>
      <w:r w:rsidRPr="0044535A">
        <w:rPr>
          <w:rFonts w:asciiTheme="minorHAnsi" w:hAnsiTheme="minorHAnsi" w:cstheme="minorHAnsi"/>
        </w:rPr>
        <w:t xml:space="preserve"> yerleşimlerinin sonunu getirmişti. Antik şehirler terk edilmiş ve ticaret yolları ortadan kalkmıştı.</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Merkezi bir devletin olmadığı bu ortamda MÖ 9. ve 6. yüzyıllarda Küçük Asya’daki nüfuzlarını genişleten Antik Yunanların yerleşimleri şehir-devletlerine (</w:t>
      </w:r>
      <w:r w:rsidRPr="0044535A">
        <w:rPr>
          <w:rFonts w:asciiTheme="minorHAnsi" w:hAnsiTheme="minorHAnsi" w:cstheme="minorHAnsi"/>
          <w:i/>
        </w:rPr>
        <w:t>polis</w:t>
      </w:r>
      <w:r w:rsidRPr="0044535A">
        <w:rPr>
          <w:rFonts w:asciiTheme="minorHAnsi" w:hAnsiTheme="minorHAnsi" w:cstheme="minorHAnsi"/>
        </w:rPr>
        <w:t xml:space="preserve">) dönüştü. </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Anadolu’nun şehir-devletleri kendilerini tanımlamaya sembollerle başladılar. Sikkeler ve terazi ağırlıklarında da sıkça karşımıza çıkan semboller (</w:t>
      </w:r>
      <w:proofErr w:type="spellStart"/>
      <w:r w:rsidRPr="0044535A">
        <w:rPr>
          <w:rFonts w:asciiTheme="minorHAnsi" w:hAnsiTheme="minorHAnsi" w:cstheme="minorHAnsi"/>
          <w:i/>
        </w:rPr>
        <w:t>parasemon</w:t>
      </w:r>
      <w:proofErr w:type="spellEnd"/>
      <w:r w:rsidRPr="0044535A">
        <w:rPr>
          <w:rFonts w:asciiTheme="minorHAnsi" w:hAnsiTheme="minorHAnsi" w:cstheme="minorHAnsi"/>
        </w:rPr>
        <w:t xml:space="preserve">) ve onlarla ilişkili mitler ekonominin etrafında gelişen kültürel yaşamın izlerini taşırdı. </w:t>
      </w:r>
    </w:p>
    <w:p w:rsidR="005F39C0" w:rsidRPr="0044535A" w:rsidRDefault="005F39C0" w:rsidP="00664954">
      <w:pPr>
        <w:spacing w:line="240" w:lineRule="auto"/>
        <w:jc w:val="both"/>
        <w:rPr>
          <w:rFonts w:asciiTheme="minorHAnsi" w:hAnsiTheme="minorHAnsi" w:cstheme="minorHAnsi"/>
        </w:rPr>
      </w:pPr>
    </w:p>
    <w:p w:rsidR="00664954" w:rsidRPr="0044535A" w:rsidRDefault="00664954" w:rsidP="00664954">
      <w:pPr>
        <w:spacing w:line="240" w:lineRule="auto"/>
        <w:rPr>
          <w:rFonts w:asciiTheme="minorHAnsi" w:hAnsiTheme="minorHAnsi" w:cstheme="minorHAnsi"/>
          <w:b/>
        </w:rPr>
      </w:pPr>
      <w:r w:rsidRPr="0044535A">
        <w:rPr>
          <w:rFonts w:asciiTheme="minorHAnsi" w:hAnsiTheme="minorHAnsi" w:cstheme="minorHAnsi"/>
          <w:b/>
        </w:rPr>
        <w:lastRenderedPageBreak/>
        <w:t xml:space="preserve">Tartmanın Politikası ve </w:t>
      </w:r>
      <w:proofErr w:type="spellStart"/>
      <w:r w:rsidRPr="0044535A">
        <w:rPr>
          <w:rFonts w:asciiTheme="minorHAnsi" w:hAnsiTheme="minorHAnsi" w:cstheme="minorHAnsi"/>
          <w:b/>
        </w:rPr>
        <w:t>Poetikası</w:t>
      </w:r>
      <w:proofErr w:type="spellEnd"/>
      <w:r w:rsidRPr="0044535A">
        <w:rPr>
          <w:rFonts w:asciiTheme="minorHAnsi" w:hAnsiTheme="minorHAnsi" w:cstheme="minorHAnsi"/>
          <w:b/>
        </w:rPr>
        <w:t>: Roma İmparatorluğu Yönetiminde Anadolu</w:t>
      </w:r>
    </w:p>
    <w:p w:rsidR="00664954" w:rsidRPr="0044535A" w:rsidRDefault="00664954" w:rsidP="00664954">
      <w:pPr>
        <w:spacing w:line="240" w:lineRule="auto"/>
        <w:ind w:left="720"/>
        <w:rPr>
          <w:rFonts w:asciiTheme="minorHAnsi" w:hAnsiTheme="minorHAnsi" w:cstheme="minorHAnsi"/>
        </w:rPr>
      </w:pPr>
      <w:r w:rsidRPr="0044535A">
        <w:rPr>
          <w:rFonts w:asciiTheme="minorHAnsi" w:hAnsiTheme="minorHAnsi" w:cstheme="minorHAnsi"/>
        </w:rPr>
        <w:t>“Ah, sersem kafam…</w:t>
      </w:r>
    </w:p>
    <w:p w:rsidR="00664954" w:rsidRPr="0044535A" w:rsidRDefault="00664954" w:rsidP="00664954">
      <w:pPr>
        <w:spacing w:line="240" w:lineRule="auto"/>
        <w:ind w:left="720"/>
        <w:rPr>
          <w:rFonts w:asciiTheme="minorHAnsi" w:hAnsiTheme="minorHAnsi" w:cstheme="minorHAnsi"/>
        </w:rPr>
      </w:pPr>
      <w:r w:rsidRPr="0044535A">
        <w:rPr>
          <w:rFonts w:asciiTheme="minorHAnsi" w:hAnsiTheme="minorHAnsi" w:cstheme="minorHAnsi"/>
        </w:rPr>
        <w:t>Düşünürdüm ki o Roma adıyla bilinen şehir, hani</w:t>
      </w:r>
    </w:p>
    <w:p w:rsidR="00664954" w:rsidRPr="0044535A" w:rsidRDefault="00664954" w:rsidP="00664954">
      <w:pPr>
        <w:spacing w:line="240" w:lineRule="auto"/>
        <w:ind w:left="720"/>
        <w:rPr>
          <w:rFonts w:asciiTheme="minorHAnsi" w:hAnsiTheme="minorHAnsi" w:cstheme="minorHAnsi"/>
        </w:rPr>
      </w:pPr>
      <w:r w:rsidRPr="0044535A">
        <w:rPr>
          <w:rFonts w:asciiTheme="minorHAnsi" w:hAnsiTheme="minorHAnsi" w:cstheme="minorHAnsi"/>
        </w:rPr>
        <w:t>Günü gelince yola düşüp</w:t>
      </w:r>
    </w:p>
    <w:p w:rsidR="00664954" w:rsidRPr="0044535A" w:rsidRDefault="00664954" w:rsidP="00664954">
      <w:pPr>
        <w:spacing w:line="240" w:lineRule="auto"/>
        <w:ind w:left="720"/>
        <w:rPr>
          <w:rFonts w:asciiTheme="minorHAnsi" w:hAnsiTheme="minorHAnsi" w:cstheme="minorHAnsi"/>
        </w:rPr>
      </w:pPr>
      <w:r w:rsidRPr="0044535A">
        <w:rPr>
          <w:rFonts w:asciiTheme="minorHAnsi" w:hAnsiTheme="minorHAnsi" w:cstheme="minorHAnsi"/>
        </w:rPr>
        <w:t>Çocuklarımızı da yanımıza katıp gittiğimiz</w:t>
      </w:r>
    </w:p>
    <w:p w:rsidR="00664954" w:rsidRPr="0044535A" w:rsidRDefault="00664954" w:rsidP="00664954">
      <w:pPr>
        <w:spacing w:line="240" w:lineRule="auto"/>
        <w:ind w:left="720"/>
        <w:rPr>
          <w:rFonts w:asciiTheme="minorHAnsi" w:hAnsiTheme="minorHAnsi" w:cstheme="minorHAnsi"/>
        </w:rPr>
      </w:pPr>
      <w:r w:rsidRPr="0044535A">
        <w:rPr>
          <w:rFonts w:asciiTheme="minorHAnsi" w:hAnsiTheme="minorHAnsi" w:cstheme="minorHAnsi"/>
        </w:rPr>
        <w:t>Pazarın kurulduğu kasaba gibidir”</w:t>
      </w:r>
    </w:p>
    <w:p w:rsidR="00664954" w:rsidRPr="0044535A" w:rsidRDefault="00664954" w:rsidP="00664954">
      <w:pPr>
        <w:spacing w:line="240" w:lineRule="auto"/>
        <w:ind w:left="2136" w:firstLine="707"/>
        <w:rPr>
          <w:rFonts w:asciiTheme="minorHAnsi" w:hAnsiTheme="minorHAnsi" w:cstheme="minorHAnsi"/>
          <w:i/>
        </w:rPr>
      </w:pPr>
      <w:bookmarkStart w:id="1" w:name="_heading=h.gjdgxs" w:colFirst="0" w:colLast="0"/>
      <w:bookmarkEnd w:id="1"/>
      <w:proofErr w:type="spellStart"/>
      <w:r w:rsidRPr="0044535A">
        <w:rPr>
          <w:rFonts w:asciiTheme="minorHAnsi" w:hAnsiTheme="minorHAnsi" w:cstheme="minorHAnsi"/>
        </w:rPr>
        <w:t>Vergilius</w:t>
      </w:r>
      <w:proofErr w:type="spellEnd"/>
      <w:r w:rsidRPr="0044535A">
        <w:rPr>
          <w:rFonts w:asciiTheme="minorHAnsi" w:hAnsiTheme="minorHAnsi" w:cstheme="minorHAnsi"/>
        </w:rPr>
        <w:t xml:space="preserve">, </w:t>
      </w:r>
      <w:proofErr w:type="spellStart"/>
      <w:r w:rsidRPr="0044535A">
        <w:rPr>
          <w:rFonts w:asciiTheme="minorHAnsi" w:hAnsiTheme="minorHAnsi" w:cstheme="minorHAnsi"/>
          <w:i/>
        </w:rPr>
        <w:t>Eclogue</w:t>
      </w:r>
      <w:proofErr w:type="spellEnd"/>
      <w:r w:rsidRPr="0044535A">
        <w:rPr>
          <w:rFonts w:asciiTheme="minorHAnsi" w:hAnsiTheme="minorHAnsi" w:cstheme="minorHAnsi"/>
          <w:i/>
        </w:rPr>
        <w:t xml:space="preserve"> 1</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MÖ 129’da Roma Cumhuriyeti Anadolu’yu hâkimiyeti altına aldığını ilan ederek, başkenti Bergama’da olmak üzere Asya Eyaleti’ni oluşturdu. Zengin kentleri ve geniş ticaret ağları ile Roma yönetimi Anadolu’ya refah getirmişti. Yaklaşık 400 yıllık bu dönemde Roma İmparatorluğu’nun batısı Latin, doğusu ise Eski Yunan kültürü ve dilinin etkisindeydi.</w:t>
      </w:r>
    </w:p>
    <w:p w:rsidR="00664954" w:rsidRPr="0044535A" w:rsidRDefault="00664954" w:rsidP="00664954">
      <w:pPr>
        <w:spacing w:line="240" w:lineRule="auto"/>
        <w:rPr>
          <w:rFonts w:asciiTheme="minorHAnsi" w:hAnsiTheme="minorHAnsi" w:cstheme="minorHAnsi"/>
          <w:b/>
          <w:bCs/>
        </w:rPr>
      </w:pPr>
      <w:r w:rsidRPr="0044535A">
        <w:rPr>
          <w:rFonts w:asciiTheme="minorHAnsi" w:hAnsiTheme="minorHAnsi" w:cstheme="minorHAnsi"/>
          <w:b/>
          <w:bCs/>
        </w:rPr>
        <w:t>İnanç ve Güç: Bizans Egemenliğinde Anadolu</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 xml:space="preserve">Bizans döneminde Konstantinopolis idari, askeri ve dini bir merkez olmasının yanı sıra, ekonominin ve ticaretin de merkeziydi. Doğru üretilmiş ağırlık ve ölçüler ise sorunsuz bir ticaret hayatı için son derece önemliydi. İmparatoriçe büstü betimli kantar topuzları, bilgelik, yasallık, refah ve iyi talih mefhumlarını bir araya getiren imgeler olarak ortaya çıkmıştı. Bu tip büstlerin Athena ile birlikte şehir pazarlarında bulunmasıyla alışverişlerin yasallığının artırılması hedeflenmişti. Bizans toplumunda “adil” veya doğru tartma aynı zamanda ahlaki bir anlam da taşırdı ve ruhların tartılmasını akıllara getirirdi. </w:t>
      </w:r>
    </w:p>
    <w:p w:rsidR="00664954" w:rsidRPr="0044535A" w:rsidRDefault="00664954" w:rsidP="00664954">
      <w:pPr>
        <w:spacing w:line="240" w:lineRule="auto"/>
        <w:rPr>
          <w:rFonts w:asciiTheme="minorHAnsi" w:hAnsiTheme="minorHAnsi" w:cstheme="minorHAnsi"/>
          <w:b/>
        </w:rPr>
      </w:pPr>
      <w:r w:rsidRPr="0044535A">
        <w:rPr>
          <w:rFonts w:asciiTheme="minorHAnsi" w:hAnsiTheme="minorHAnsi" w:cstheme="minorHAnsi"/>
          <w:b/>
        </w:rPr>
        <w:t>İdeoloji ve Devamlılık: Osmanlı Dünyasında Tartmak</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Konstantinopolis yarım milyonluk nüfusuyla Geç Antik Çağ’ın siyaset ve ticaret merkeziydi. On beşinci yüzyıldaki Osmanlı fethiyle birlikte yeni bir kimliğe bürünen imparatorluk başkentinin ticari merkezleri Bizans mirasını yeni bir kimlikle taşımaya devam etti.</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 xml:space="preserve">Orta Çağ Anadolu tarihine damgasını vuran Selçuklu ticaret ağları ve kervansaraylar da, sınırlarını genişletmekte olan Osmanlı Devleti’nin ekonomik politikalarını belirlemesinde örnek teşkil etmişti. </w:t>
      </w:r>
    </w:p>
    <w:p w:rsidR="00664954" w:rsidRPr="0044535A" w:rsidRDefault="00664954" w:rsidP="00664954">
      <w:pPr>
        <w:spacing w:line="240" w:lineRule="auto"/>
        <w:jc w:val="both"/>
        <w:rPr>
          <w:rFonts w:asciiTheme="minorHAnsi" w:hAnsiTheme="minorHAnsi" w:cstheme="minorHAnsi"/>
        </w:rPr>
      </w:pPr>
      <w:r w:rsidRPr="0044535A">
        <w:rPr>
          <w:rFonts w:asciiTheme="minorHAnsi" w:hAnsiTheme="minorHAnsi" w:cstheme="minorHAnsi"/>
        </w:rPr>
        <w:t>Şehirdeki ticaretin en önemli figürleri olan esnaflar ise İstanbul’da genellikle Bizans dönemindekine benzer şekilde Eminönü, Beyazıt, Süleymaniye, Mahmutpaşa, Tahtakale civarında yoğunlaşmıştı ve merkez Kapalıçarşı’ydı.</w:t>
      </w:r>
    </w:p>
    <w:p w:rsidR="00664954" w:rsidRPr="0044535A" w:rsidRDefault="00664954" w:rsidP="00664954">
      <w:pPr>
        <w:spacing w:line="240" w:lineRule="auto"/>
        <w:rPr>
          <w:rFonts w:asciiTheme="minorHAnsi" w:hAnsiTheme="minorHAnsi" w:cstheme="minorHAnsi"/>
        </w:rPr>
      </w:pPr>
    </w:p>
    <w:sectPr w:rsidR="00664954" w:rsidRPr="0044535A" w:rsidSect="005F39C0">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09E" w:rsidRDefault="0016109E" w:rsidP="005F39C0">
      <w:pPr>
        <w:spacing w:after="0" w:line="240" w:lineRule="auto"/>
      </w:pPr>
      <w:r>
        <w:separator/>
      </w:r>
    </w:p>
  </w:endnote>
  <w:endnote w:type="continuationSeparator" w:id="0">
    <w:p w:rsidR="0016109E" w:rsidRDefault="0016109E" w:rsidP="005F3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09E" w:rsidRDefault="0016109E" w:rsidP="005F39C0">
      <w:pPr>
        <w:spacing w:after="0" w:line="240" w:lineRule="auto"/>
      </w:pPr>
      <w:r>
        <w:separator/>
      </w:r>
    </w:p>
  </w:footnote>
  <w:footnote w:type="continuationSeparator" w:id="0">
    <w:p w:rsidR="0016109E" w:rsidRDefault="0016109E" w:rsidP="005F39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9C0" w:rsidRDefault="005F39C0" w:rsidP="005F39C0">
    <w:pPr>
      <w:pStyle w:val="stbilgi"/>
      <w:jc w:val="center"/>
    </w:pPr>
    <w:r>
      <w:rPr>
        <w:noProof/>
      </w:rPr>
      <w:drawing>
        <wp:inline distT="0" distB="0" distL="0" distR="0" wp14:anchorId="1F2057F5" wp14:editId="36DB0ED9">
          <wp:extent cx="3171825" cy="790575"/>
          <wp:effectExtent l="0" t="0" r="9525" b="0"/>
          <wp:docPr id="6" name="Resim 1"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C3"/>
    <w:rsid w:val="0016109E"/>
    <w:rsid w:val="0044535A"/>
    <w:rsid w:val="005E57C3"/>
    <w:rsid w:val="005F39C0"/>
    <w:rsid w:val="00664954"/>
    <w:rsid w:val="00DB72F7"/>
    <w:rsid w:val="00F90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4"/>
    <w:pPr>
      <w:spacing w:line="256" w:lineRule="auto"/>
    </w:pPr>
    <w:rPr>
      <w:rFonts w:ascii="Calibri" w:eastAsia="Calibri" w:hAnsi="Calibri" w:cs="Calibri"/>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649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Vurgu">
    <w:name w:val="Emphasis"/>
    <w:basedOn w:val="VarsaylanParagrafYazTipi"/>
    <w:uiPriority w:val="20"/>
    <w:qFormat/>
    <w:rsid w:val="00664954"/>
    <w:rPr>
      <w:i/>
      <w:iCs/>
    </w:rPr>
  </w:style>
  <w:style w:type="paragraph" w:styleId="stbilgi">
    <w:name w:val="header"/>
    <w:basedOn w:val="Normal"/>
    <w:link w:val="stbilgiChar"/>
    <w:uiPriority w:val="99"/>
    <w:unhideWhenUsed/>
    <w:rsid w:val="005F39C0"/>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5F39C0"/>
    <w:rPr>
      <w:rFonts w:ascii="Calibri" w:eastAsia="Calibri" w:hAnsi="Calibri" w:cs="Calibri"/>
      <w:lang w:val="tr-TR" w:eastAsia="tr-TR"/>
    </w:rPr>
  </w:style>
  <w:style w:type="paragraph" w:styleId="Altbilgi">
    <w:name w:val="footer"/>
    <w:basedOn w:val="Normal"/>
    <w:link w:val="AltbilgiChar"/>
    <w:uiPriority w:val="99"/>
    <w:unhideWhenUsed/>
    <w:rsid w:val="005F39C0"/>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5F39C0"/>
    <w:rPr>
      <w:rFonts w:ascii="Calibri" w:eastAsia="Calibri" w:hAnsi="Calibri" w:cs="Calibri"/>
      <w:lang w:val="tr-TR" w:eastAsia="tr-TR"/>
    </w:rPr>
  </w:style>
  <w:style w:type="paragraph" w:styleId="BalonMetni">
    <w:name w:val="Balloon Text"/>
    <w:basedOn w:val="Normal"/>
    <w:link w:val="BalonMetniChar"/>
    <w:uiPriority w:val="99"/>
    <w:semiHidden/>
    <w:unhideWhenUsed/>
    <w:rsid w:val="004453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535A"/>
    <w:rPr>
      <w:rFonts w:ascii="Tahoma" w:eastAsia="Calibri" w:hAnsi="Tahoma" w:cs="Tahoma"/>
      <w:sz w:val="16"/>
      <w:szCs w:val="16"/>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4"/>
    <w:pPr>
      <w:spacing w:line="256" w:lineRule="auto"/>
    </w:pPr>
    <w:rPr>
      <w:rFonts w:ascii="Calibri" w:eastAsia="Calibri" w:hAnsi="Calibri" w:cs="Calibri"/>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649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Vurgu">
    <w:name w:val="Emphasis"/>
    <w:basedOn w:val="VarsaylanParagrafYazTipi"/>
    <w:uiPriority w:val="20"/>
    <w:qFormat/>
    <w:rsid w:val="00664954"/>
    <w:rPr>
      <w:i/>
      <w:iCs/>
    </w:rPr>
  </w:style>
  <w:style w:type="paragraph" w:styleId="stbilgi">
    <w:name w:val="header"/>
    <w:basedOn w:val="Normal"/>
    <w:link w:val="stbilgiChar"/>
    <w:uiPriority w:val="99"/>
    <w:unhideWhenUsed/>
    <w:rsid w:val="005F39C0"/>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5F39C0"/>
    <w:rPr>
      <w:rFonts w:ascii="Calibri" w:eastAsia="Calibri" w:hAnsi="Calibri" w:cs="Calibri"/>
      <w:lang w:val="tr-TR" w:eastAsia="tr-TR"/>
    </w:rPr>
  </w:style>
  <w:style w:type="paragraph" w:styleId="Altbilgi">
    <w:name w:val="footer"/>
    <w:basedOn w:val="Normal"/>
    <w:link w:val="AltbilgiChar"/>
    <w:uiPriority w:val="99"/>
    <w:unhideWhenUsed/>
    <w:rsid w:val="005F39C0"/>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5F39C0"/>
    <w:rPr>
      <w:rFonts w:ascii="Calibri" w:eastAsia="Calibri" w:hAnsi="Calibri" w:cs="Calibri"/>
      <w:lang w:val="tr-TR" w:eastAsia="tr-TR"/>
    </w:rPr>
  </w:style>
  <w:style w:type="paragraph" w:styleId="BalonMetni">
    <w:name w:val="Balloon Text"/>
    <w:basedOn w:val="Normal"/>
    <w:link w:val="BalonMetniChar"/>
    <w:uiPriority w:val="99"/>
    <w:semiHidden/>
    <w:unhideWhenUsed/>
    <w:rsid w:val="004453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535A"/>
    <w:rPr>
      <w:rFonts w:ascii="Tahoma" w:eastAsia="Calibri" w:hAnsi="Tahoma" w:cs="Tahoma"/>
      <w:sz w:val="16"/>
      <w:szCs w:val="1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65901">
      <w:bodyDiv w:val="1"/>
      <w:marLeft w:val="0"/>
      <w:marRight w:val="0"/>
      <w:marTop w:val="0"/>
      <w:marBottom w:val="0"/>
      <w:divBdr>
        <w:top w:val="none" w:sz="0" w:space="0" w:color="auto"/>
        <w:left w:val="none" w:sz="0" w:space="0" w:color="auto"/>
        <w:bottom w:val="none" w:sz="0" w:space="0" w:color="auto"/>
        <w:right w:val="none" w:sz="0" w:space="0" w:color="auto"/>
      </w:divBdr>
    </w:div>
    <w:div w:id="492069471">
      <w:bodyDiv w:val="1"/>
      <w:marLeft w:val="0"/>
      <w:marRight w:val="0"/>
      <w:marTop w:val="0"/>
      <w:marBottom w:val="0"/>
      <w:divBdr>
        <w:top w:val="none" w:sz="0" w:space="0" w:color="auto"/>
        <w:left w:val="none" w:sz="0" w:space="0" w:color="auto"/>
        <w:bottom w:val="none" w:sz="0" w:space="0" w:color="auto"/>
        <w:right w:val="none" w:sz="0" w:space="0" w:color="auto"/>
      </w:divBdr>
    </w:div>
    <w:div w:id="892930244">
      <w:bodyDiv w:val="1"/>
      <w:marLeft w:val="0"/>
      <w:marRight w:val="0"/>
      <w:marTop w:val="0"/>
      <w:marBottom w:val="0"/>
      <w:divBdr>
        <w:top w:val="none" w:sz="0" w:space="0" w:color="auto"/>
        <w:left w:val="none" w:sz="0" w:space="0" w:color="auto"/>
        <w:bottom w:val="none" w:sz="0" w:space="0" w:color="auto"/>
        <w:right w:val="none" w:sz="0" w:space="0" w:color="auto"/>
      </w:divBdr>
    </w:div>
    <w:div w:id="945500994">
      <w:bodyDiv w:val="1"/>
      <w:marLeft w:val="0"/>
      <w:marRight w:val="0"/>
      <w:marTop w:val="0"/>
      <w:marBottom w:val="0"/>
      <w:divBdr>
        <w:top w:val="none" w:sz="0" w:space="0" w:color="auto"/>
        <w:left w:val="none" w:sz="0" w:space="0" w:color="auto"/>
        <w:bottom w:val="none" w:sz="0" w:space="0" w:color="auto"/>
        <w:right w:val="none" w:sz="0" w:space="0" w:color="auto"/>
      </w:divBdr>
    </w:div>
    <w:div w:id="206624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797</Words>
  <Characters>4548</Characters>
  <Application>Microsoft Office Word</Application>
  <DocSecurity>0</DocSecurity>
  <Lines>37</Lines>
  <Paragraphs>10</Paragraphs>
  <ScaleCrop>false</ScaleCrop>
  <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dc:creator>
  <cp:keywords/>
  <dc:description/>
  <cp:lastModifiedBy>Amber Eroyan</cp:lastModifiedBy>
  <cp:revision>5</cp:revision>
  <dcterms:created xsi:type="dcterms:W3CDTF">2021-11-01T12:35:00Z</dcterms:created>
  <dcterms:modified xsi:type="dcterms:W3CDTF">2021-11-03T09:17:00Z</dcterms:modified>
</cp:coreProperties>
</file>