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89A" w:rsidRPr="00623EFA" w:rsidRDefault="0088289A" w:rsidP="00CC3D6D">
      <w:pPr>
        <w:rPr>
          <w:b/>
          <w:sz w:val="28"/>
          <w:szCs w:val="28"/>
          <w:lang w:val="tr-TR"/>
        </w:rPr>
      </w:pPr>
    </w:p>
    <w:p w:rsidR="003744A7" w:rsidRPr="00623EFA" w:rsidRDefault="00CC3D6D" w:rsidP="00CC3D6D">
      <w:pPr>
        <w:rPr>
          <w:b/>
          <w:sz w:val="26"/>
          <w:szCs w:val="26"/>
          <w:lang w:val="tr-TR"/>
        </w:rPr>
      </w:pPr>
      <w:r w:rsidRPr="00623EFA">
        <w:rPr>
          <w:b/>
          <w:sz w:val="28"/>
          <w:szCs w:val="28"/>
          <w:lang w:val="tr-TR"/>
        </w:rPr>
        <w:t>İSTANBUL’DAN BİZANS’A: YENİDEN KEŞFİN YOLLARI, 1800–1955</w:t>
      </w:r>
      <w:r w:rsidRPr="00623EFA">
        <w:rPr>
          <w:b/>
          <w:lang w:val="tr-TR"/>
        </w:rPr>
        <w:br/>
      </w:r>
      <w:proofErr w:type="spellStart"/>
      <w:r w:rsidRPr="00623EFA">
        <w:rPr>
          <w:b/>
          <w:sz w:val="26"/>
          <w:szCs w:val="26"/>
          <w:lang w:val="tr-TR"/>
        </w:rPr>
        <w:t>Brigitte</w:t>
      </w:r>
      <w:proofErr w:type="spellEnd"/>
      <w:r w:rsidRPr="00623EFA">
        <w:rPr>
          <w:b/>
          <w:sz w:val="26"/>
          <w:szCs w:val="26"/>
          <w:lang w:val="tr-TR"/>
        </w:rPr>
        <w:t xml:space="preserve"> </w:t>
      </w:r>
      <w:proofErr w:type="spellStart"/>
      <w:r w:rsidRPr="00623EFA">
        <w:rPr>
          <w:b/>
          <w:sz w:val="26"/>
          <w:szCs w:val="26"/>
          <w:lang w:val="tr-TR"/>
        </w:rPr>
        <w:t>Pitarakis</w:t>
      </w:r>
      <w:proofErr w:type="spellEnd"/>
    </w:p>
    <w:p w:rsidR="00CC3D6D" w:rsidRPr="00623EFA" w:rsidRDefault="00CC3D6D" w:rsidP="00CC3D6D">
      <w:pPr>
        <w:jc w:val="both"/>
        <w:rPr>
          <w:lang w:val="tr-TR"/>
        </w:rPr>
      </w:pPr>
      <w:proofErr w:type="spellStart"/>
      <w:r w:rsidRPr="00623EFA">
        <w:rPr>
          <w:lang w:val="tr-TR"/>
        </w:rPr>
        <w:t>Postmodern</w:t>
      </w:r>
      <w:proofErr w:type="spellEnd"/>
      <w:r w:rsidRPr="00623EFA">
        <w:rPr>
          <w:lang w:val="tr-TR"/>
        </w:rPr>
        <w:t xml:space="preserve"> bir </w:t>
      </w:r>
      <w:proofErr w:type="gramStart"/>
      <w:r w:rsidRPr="00623EFA">
        <w:rPr>
          <w:lang w:val="tr-TR"/>
        </w:rPr>
        <w:t>metropol</w:t>
      </w:r>
      <w:proofErr w:type="gramEnd"/>
      <w:r w:rsidRPr="00623EFA">
        <w:rPr>
          <w:lang w:val="tr-TR"/>
        </w:rPr>
        <w:t xml:space="preserve"> olan İstanbul zengin kültürel miras katmanlarının üstünde yer alır ve Boğaz’dan durmaksızın geçen gemiler Doğu ve Batı’nın kesişim noktasındaki bu şehrin asırlar boyunca taşıdığı ekonomik ve jeopolitik öneme işaret eder. Şehrin modern taşımacılık ağının temelleri Berlin-Bağdat demiryolunun inşası ve Süveyş Kanalı’nın açılmasıyla on dokuzuncu yüzyılın sonlarında atılmaya başlanmış, aynı dönemde coğrafi ufukların genişlemesi, bilimsel araştırmalarda ve teknolojide yaşanan gelişmelerle birlikte geçmiş uygarlıklara ve bugün “öteki” olarak adlandırılan insanlara yönelik yeni bir merak ortaya çıkmıştır. Pera Palas Oteli (1895) Konstantinopolis’i ve Şark’ı keşfetmeye hevesli ilk konuklarını ağırlamadan birkaç yıl önce, otelin mimarı </w:t>
      </w:r>
      <w:proofErr w:type="spellStart"/>
      <w:r w:rsidRPr="00623EFA">
        <w:rPr>
          <w:lang w:val="tr-TR"/>
        </w:rPr>
        <w:t>Alexandre</w:t>
      </w:r>
      <w:proofErr w:type="spellEnd"/>
      <w:r w:rsidRPr="00623EFA">
        <w:rPr>
          <w:lang w:val="tr-TR"/>
        </w:rPr>
        <w:t xml:space="preserve"> </w:t>
      </w:r>
      <w:proofErr w:type="spellStart"/>
      <w:r w:rsidRPr="00623EFA">
        <w:rPr>
          <w:lang w:val="tr-TR"/>
        </w:rPr>
        <w:t>Vallaury</w:t>
      </w:r>
      <w:proofErr w:type="spellEnd"/>
      <w:r w:rsidRPr="00623EFA">
        <w:rPr>
          <w:lang w:val="tr-TR"/>
        </w:rPr>
        <w:t xml:space="preserve">, Gülhane Parkı ve Topkapı Sarayı’nın arasındaki alana İstanbul Arkeoloji Müzeleri’nin (1891) </w:t>
      </w:r>
      <w:proofErr w:type="spellStart"/>
      <w:r w:rsidRPr="00623EFA">
        <w:rPr>
          <w:lang w:val="tr-TR"/>
        </w:rPr>
        <w:t>neoklasik</w:t>
      </w:r>
      <w:proofErr w:type="spellEnd"/>
      <w:r w:rsidRPr="00623EFA">
        <w:rPr>
          <w:lang w:val="tr-TR"/>
        </w:rPr>
        <w:t xml:space="preserve"> üsluptaki binasını inşa etmişti. </w:t>
      </w:r>
    </w:p>
    <w:p w:rsidR="00CC3D6D" w:rsidRPr="00623EFA" w:rsidRDefault="00CC3D6D" w:rsidP="00CC3D6D">
      <w:pPr>
        <w:jc w:val="both"/>
        <w:rPr>
          <w:lang w:val="tr-TR"/>
        </w:rPr>
      </w:pPr>
      <w:r w:rsidRPr="00623EFA">
        <w:rPr>
          <w:lang w:val="tr-TR"/>
        </w:rPr>
        <w:t xml:space="preserve">İstanbul’dan Bizans’a sergisi, şehrin Bizans mirasına dair yeni bir uluslararası ve yerel farkındalığın oluşmasında İstanbul’un merkezi rolünü inceliyor. 1800’lü yıllardan 1955’e kadar şehrin bazı anlarına bakmanın ötesinde, İstanbul’u, imparatorlukların maddi ve entelektüel zenginliğini cezbederek Bizans’a dair bilgi birikiminin gelişmesi ve Bizans araştırmalarının bir disipline dönüşmesiyle sonuçlanan bir çekim merkezi olarak da ele alıyor. Sergi kurgusunda diğer beş bölümün merkezi işlevini üstlenen ilk bölüm; Efsaneyi Yeniden Yazmak: Sultan, Yabancı Rakipleri ve Bizans, geç dönem Osmanlı devletinin yerel ve uluslararası ölçekte gerçekleştirdiği değişimlerin ortasında Bizans’ın algılanma biçimini inceliyor. İstanbul’un çok kültürlü kimliğinin gelişimini, kültürel ve entelektüel canlılığını ve Batı’da Bizans çalışmalarının gelişmesine yol açan dinamikleri anlamak için gereken arka planı sunuyor. Sultan Abdülmecid’in </w:t>
      </w:r>
      <w:proofErr w:type="gramStart"/>
      <w:r w:rsidRPr="00623EFA">
        <w:rPr>
          <w:lang w:val="tr-TR"/>
        </w:rPr>
        <w:t>(</w:t>
      </w:r>
      <w:proofErr w:type="spellStart"/>
      <w:proofErr w:type="gramEnd"/>
      <w:r w:rsidRPr="00623EFA">
        <w:rPr>
          <w:lang w:val="tr-TR"/>
        </w:rPr>
        <w:t>hük</w:t>
      </w:r>
      <w:proofErr w:type="spellEnd"/>
      <w:r w:rsidRPr="00623EFA">
        <w:rPr>
          <w:lang w:val="tr-TR"/>
        </w:rPr>
        <w:t>. 1839–1861</w:t>
      </w:r>
      <w:proofErr w:type="gramStart"/>
      <w:r w:rsidRPr="00623EFA">
        <w:rPr>
          <w:lang w:val="tr-TR"/>
        </w:rPr>
        <w:t>)</w:t>
      </w:r>
      <w:proofErr w:type="gramEnd"/>
      <w:r w:rsidRPr="00623EFA">
        <w:rPr>
          <w:lang w:val="tr-TR"/>
        </w:rPr>
        <w:t xml:space="preserve">—Ayasofya’yı restore ettirmesiyle somutlaşan—Bizans mirasını hamiliği, şehri Batılı bilim insanlarına ve teknolojik yeniliklere açması, bu yolla Osmanlı’nın modern bir ülke olarak tanınmasına verdiği önemi göstererek imparatorluğunun şanını ve gücünü artırmanın bir aracı olarak da işlev görmüştür. </w:t>
      </w:r>
    </w:p>
    <w:p w:rsidR="00CC3D6D" w:rsidRPr="00623EFA" w:rsidRDefault="00CC3D6D" w:rsidP="00CC3D6D">
      <w:pPr>
        <w:jc w:val="both"/>
        <w:rPr>
          <w:lang w:val="tr-TR"/>
        </w:rPr>
      </w:pPr>
      <w:r w:rsidRPr="00623EFA">
        <w:rPr>
          <w:lang w:val="tr-TR"/>
        </w:rPr>
        <w:t>Gösterişli yayınlardaki renkli taşbaskılar (</w:t>
      </w:r>
      <w:proofErr w:type="spellStart"/>
      <w:r w:rsidRPr="00623EFA">
        <w:rPr>
          <w:lang w:val="tr-TR"/>
        </w:rPr>
        <w:t>kromolitografi</w:t>
      </w:r>
      <w:proofErr w:type="spellEnd"/>
      <w:r w:rsidRPr="00623EFA">
        <w:rPr>
          <w:lang w:val="tr-TR"/>
        </w:rPr>
        <w:t xml:space="preserve">) Bizans mimarisini ve bezemelerini canlandırmış, yeni ve yeniden keşfedilen anıtlar için adeta birer vitrin olmuştur. 1867 yılında, Avrupa’yı ziyaret eden ilk Osmanlı hükümdarı olan Sultan Abdülaziz’in </w:t>
      </w:r>
      <w:proofErr w:type="gramStart"/>
      <w:r w:rsidRPr="00623EFA">
        <w:rPr>
          <w:lang w:val="tr-TR"/>
        </w:rPr>
        <w:t>(</w:t>
      </w:r>
      <w:proofErr w:type="spellStart"/>
      <w:proofErr w:type="gramEnd"/>
      <w:r w:rsidRPr="00623EFA">
        <w:rPr>
          <w:lang w:val="tr-TR"/>
        </w:rPr>
        <w:t>hük</w:t>
      </w:r>
      <w:proofErr w:type="spellEnd"/>
      <w:r w:rsidRPr="00623EFA">
        <w:rPr>
          <w:lang w:val="tr-TR"/>
        </w:rPr>
        <w:t xml:space="preserve">. 1861–1876) seyahati sırasında gezdiği Paris Dünya Fuarı’nın Osmanlı bölümünde İstanbul’daki Bizans anıtlarının </w:t>
      </w:r>
      <w:proofErr w:type="gramStart"/>
      <w:r w:rsidRPr="00623EFA">
        <w:rPr>
          <w:lang w:val="tr-TR"/>
        </w:rPr>
        <w:t>rekonstrüksiyon</w:t>
      </w:r>
      <w:proofErr w:type="gramEnd"/>
      <w:r w:rsidRPr="00623EFA">
        <w:rPr>
          <w:lang w:val="tr-TR"/>
        </w:rPr>
        <w:t xml:space="preserve"> çizimleri, İznik seramikleri ve Osman Hamdi Bey’in (1842–1910) tabloları gururla sergilenmiş ve zaman içinde Bizans mirasına artan ilgi bir uluslararası iletişim aracına ve Rusya ile Batılı güçlerin Osmanlılarla diplomatik ve kültürel mülkiyet savaşlarına girdikleri bir alana dönüşmüştür.</w:t>
      </w:r>
    </w:p>
    <w:p w:rsidR="00CC3D6D" w:rsidRPr="00623EFA" w:rsidRDefault="00CC3D6D" w:rsidP="00CC3D6D">
      <w:pPr>
        <w:jc w:val="both"/>
        <w:rPr>
          <w:lang w:val="tr-TR"/>
        </w:rPr>
      </w:pPr>
      <w:r w:rsidRPr="00623EFA">
        <w:rPr>
          <w:lang w:val="tr-TR"/>
        </w:rPr>
        <w:t xml:space="preserve">On dokuzuncu yüzyılın ikinci yarısında Bizans’ın uluslararası çekim gücü, küçük bir Batılı gezgin grubunun peşine düştüğü klasik dönem arkeolojisi ve Şark’ın gizemlerini çözme çabaları sırasında karşılaştıkları bir tarihsel miras olmanın ötesine ulaşmıştı. Farklı alanlardan gelen yerli </w:t>
      </w:r>
      <w:proofErr w:type="spellStart"/>
      <w:r w:rsidRPr="00623EFA">
        <w:rPr>
          <w:lang w:val="tr-TR"/>
        </w:rPr>
        <w:t>hezarfenler</w:t>
      </w:r>
      <w:proofErr w:type="spellEnd"/>
      <w:r w:rsidRPr="00623EFA">
        <w:rPr>
          <w:lang w:val="tr-TR"/>
        </w:rPr>
        <w:t xml:space="preserve"> ve yabancı bilim insanları yeni kurulan araştırma merkezlerinde ve entelektüel meclislerde Bizans topografyası, mimarisi, yazıtları ve eserleri üzerine güncel araştırmalarını paylaşıyor, canlı tartışmalar yapıyorlardı. Bazıları, </w:t>
      </w:r>
      <w:proofErr w:type="spellStart"/>
      <w:r w:rsidRPr="00623EFA">
        <w:rPr>
          <w:lang w:val="tr-TR"/>
        </w:rPr>
        <w:t>Boukoleon</w:t>
      </w:r>
      <w:proofErr w:type="spellEnd"/>
      <w:r w:rsidRPr="00623EFA">
        <w:rPr>
          <w:lang w:val="tr-TR"/>
        </w:rPr>
        <w:t xml:space="preserve"> Sarayı-“</w:t>
      </w:r>
      <w:proofErr w:type="spellStart"/>
      <w:r w:rsidRPr="00623EFA">
        <w:rPr>
          <w:lang w:val="tr-TR"/>
        </w:rPr>
        <w:t>Ioustinianos</w:t>
      </w:r>
      <w:proofErr w:type="spellEnd"/>
      <w:r w:rsidRPr="00623EFA">
        <w:rPr>
          <w:lang w:val="tr-TR"/>
        </w:rPr>
        <w:t xml:space="preserve"> Evi” gibi anıtsal yapılardaki ilk kazı denemelerini gerçekleştirdiler (İkinci bölüm, Eskiçağ Merakı mı, Şarkiyatçılık mı, </w:t>
      </w:r>
      <w:proofErr w:type="spellStart"/>
      <w:r w:rsidRPr="00623EFA">
        <w:rPr>
          <w:lang w:val="tr-TR"/>
        </w:rPr>
        <w:t>Bizantinizm</w:t>
      </w:r>
      <w:proofErr w:type="spellEnd"/>
      <w:r w:rsidRPr="00623EFA">
        <w:rPr>
          <w:lang w:val="tr-TR"/>
        </w:rPr>
        <w:t xml:space="preserve"> mi? Tutkulu Zihinler ve Geç Dönem Osmanlı İstanbul’unda Entelektüel Merak). Mars’a ilgi duyan ve </w:t>
      </w:r>
      <w:proofErr w:type="spellStart"/>
      <w:r w:rsidRPr="00623EFA">
        <w:rPr>
          <w:lang w:val="tr-TR"/>
        </w:rPr>
        <w:t>Tatavla’da</w:t>
      </w:r>
      <w:proofErr w:type="spellEnd"/>
      <w:r w:rsidRPr="00623EFA">
        <w:rPr>
          <w:lang w:val="tr-TR"/>
        </w:rPr>
        <w:t xml:space="preserve"> (Kurtuluş) doğup büyüyen </w:t>
      </w:r>
      <w:proofErr w:type="spellStart"/>
      <w:r w:rsidRPr="00623EFA">
        <w:rPr>
          <w:lang w:val="tr-TR"/>
        </w:rPr>
        <w:t>Eugène</w:t>
      </w:r>
      <w:proofErr w:type="spellEnd"/>
      <w:r w:rsidRPr="00623EFA">
        <w:rPr>
          <w:lang w:val="tr-TR"/>
        </w:rPr>
        <w:t xml:space="preserve"> </w:t>
      </w:r>
      <w:proofErr w:type="spellStart"/>
      <w:r w:rsidRPr="00623EFA">
        <w:rPr>
          <w:lang w:val="tr-TR"/>
        </w:rPr>
        <w:t>Antoniadi’nin</w:t>
      </w:r>
      <w:proofErr w:type="spellEnd"/>
      <w:r w:rsidRPr="00623EFA">
        <w:rPr>
          <w:lang w:val="tr-TR"/>
        </w:rPr>
        <w:t xml:space="preserve"> (1870–1944) güneşin Ayasofya’nın içindeki gezintisini ve hareketini incelemeye başlamasıyla birlikte, dönemin entelektüel merakı bir anlamda astronomiye kadar uzanmıştı. Böylece </w:t>
      </w:r>
      <w:proofErr w:type="spellStart"/>
      <w:r w:rsidRPr="00623EFA">
        <w:rPr>
          <w:lang w:val="tr-TR"/>
        </w:rPr>
        <w:t>Antoniadi</w:t>
      </w:r>
      <w:proofErr w:type="spellEnd"/>
      <w:r w:rsidRPr="00623EFA">
        <w:rPr>
          <w:lang w:val="tr-TR"/>
        </w:rPr>
        <w:t xml:space="preserve"> Bizans eserlerine derin bir ilgi besleyen diplomatların, bürokratların, doktorların ve diğer bilim insanlarının saflarına katılmıştı. İstanbul’un sosyal, entelektüel ve kültürel dinamiklerinde yaşanan değişime katkıda bulunan isimler arasında </w:t>
      </w:r>
      <w:proofErr w:type="spellStart"/>
      <w:r w:rsidRPr="00623EFA">
        <w:rPr>
          <w:lang w:val="tr-TR"/>
        </w:rPr>
        <w:t>Philipp</w:t>
      </w:r>
      <w:proofErr w:type="spellEnd"/>
      <w:r w:rsidRPr="00623EFA">
        <w:rPr>
          <w:lang w:val="tr-TR"/>
        </w:rPr>
        <w:t xml:space="preserve"> </w:t>
      </w:r>
      <w:proofErr w:type="spellStart"/>
      <w:r w:rsidRPr="00623EFA">
        <w:rPr>
          <w:lang w:val="tr-TR"/>
        </w:rPr>
        <w:t>Anton</w:t>
      </w:r>
      <w:proofErr w:type="spellEnd"/>
      <w:r w:rsidRPr="00623EFA">
        <w:rPr>
          <w:lang w:val="tr-TR"/>
        </w:rPr>
        <w:t xml:space="preserve"> </w:t>
      </w:r>
      <w:proofErr w:type="spellStart"/>
      <w:r w:rsidRPr="00623EFA">
        <w:rPr>
          <w:lang w:val="tr-TR"/>
        </w:rPr>
        <w:t>Dethier</w:t>
      </w:r>
      <w:proofErr w:type="spellEnd"/>
      <w:r w:rsidRPr="00623EFA">
        <w:rPr>
          <w:lang w:val="tr-TR"/>
        </w:rPr>
        <w:t xml:space="preserve"> (1803–1881), içlerinde </w:t>
      </w:r>
      <w:proofErr w:type="spellStart"/>
      <w:r w:rsidRPr="00623EFA">
        <w:rPr>
          <w:lang w:val="tr-TR"/>
        </w:rPr>
        <w:t>Alexandros</w:t>
      </w:r>
      <w:proofErr w:type="spellEnd"/>
      <w:r w:rsidRPr="00623EFA">
        <w:rPr>
          <w:lang w:val="tr-TR"/>
        </w:rPr>
        <w:t xml:space="preserve"> </w:t>
      </w:r>
      <w:proofErr w:type="spellStart"/>
      <w:r w:rsidRPr="00623EFA">
        <w:rPr>
          <w:lang w:val="tr-TR"/>
        </w:rPr>
        <w:t>Karatheodori</w:t>
      </w:r>
      <w:proofErr w:type="spellEnd"/>
      <w:r w:rsidRPr="00623EFA">
        <w:rPr>
          <w:lang w:val="tr-TR"/>
        </w:rPr>
        <w:t xml:space="preserve"> Paşa’nın da (1833–1906) bulunduğu </w:t>
      </w:r>
      <w:proofErr w:type="spellStart"/>
      <w:r w:rsidRPr="00623EFA">
        <w:rPr>
          <w:lang w:val="tr-TR"/>
        </w:rPr>
        <w:t>Karatheodori</w:t>
      </w:r>
      <w:proofErr w:type="spellEnd"/>
      <w:r w:rsidRPr="00623EFA">
        <w:rPr>
          <w:lang w:val="tr-TR"/>
        </w:rPr>
        <w:t xml:space="preserve"> ailesinin bazı fertleri, </w:t>
      </w:r>
      <w:proofErr w:type="spellStart"/>
      <w:r w:rsidRPr="00623EFA">
        <w:rPr>
          <w:lang w:val="tr-TR"/>
        </w:rPr>
        <w:t>Andreas</w:t>
      </w:r>
      <w:proofErr w:type="spellEnd"/>
      <w:r w:rsidRPr="00623EFA">
        <w:rPr>
          <w:lang w:val="tr-TR"/>
        </w:rPr>
        <w:t xml:space="preserve"> David </w:t>
      </w:r>
      <w:proofErr w:type="spellStart"/>
      <w:r w:rsidRPr="00623EFA">
        <w:rPr>
          <w:lang w:val="tr-TR"/>
        </w:rPr>
        <w:t>Mordtmann</w:t>
      </w:r>
      <w:proofErr w:type="spellEnd"/>
      <w:r w:rsidRPr="00623EFA">
        <w:rPr>
          <w:lang w:val="tr-TR"/>
        </w:rPr>
        <w:t xml:space="preserve"> (1811–1879) ve oğlu </w:t>
      </w:r>
      <w:proofErr w:type="spellStart"/>
      <w:r w:rsidRPr="00623EFA">
        <w:rPr>
          <w:lang w:val="tr-TR"/>
        </w:rPr>
        <w:t>Andreas</w:t>
      </w:r>
      <w:proofErr w:type="spellEnd"/>
      <w:r w:rsidRPr="00623EFA">
        <w:rPr>
          <w:lang w:val="tr-TR"/>
        </w:rPr>
        <w:t xml:space="preserve"> David </w:t>
      </w:r>
      <w:proofErr w:type="spellStart"/>
      <w:r w:rsidRPr="00623EFA">
        <w:rPr>
          <w:lang w:val="tr-TR"/>
        </w:rPr>
        <w:t>Mordtmann</w:t>
      </w:r>
      <w:proofErr w:type="spellEnd"/>
      <w:r w:rsidRPr="00623EFA">
        <w:rPr>
          <w:lang w:val="tr-TR"/>
        </w:rPr>
        <w:t xml:space="preserve"> </w:t>
      </w:r>
      <w:proofErr w:type="spellStart"/>
      <w:r w:rsidRPr="00623EFA">
        <w:rPr>
          <w:lang w:val="tr-TR"/>
        </w:rPr>
        <w:t>Jr</w:t>
      </w:r>
      <w:proofErr w:type="spellEnd"/>
      <w:r w:rsidRPr="00623EFA">
        <w:rPr>
          <w:lang w:val="tr-TR"/>
        </w:rPr>
        <w:t xml:space="preserve">. (1837–1912) ile Celâl Esad [Arseven] (1875–1971) yer alıyordu. </w:t>
      </w:r>
    </w:p>
    <w:p w:rsidR="00CC3D6D" w:rsidRPr="00623EFA" w:rsidRDefault="00CC3D6D" w:rsidP="00CC3D6D">
      <w:pPr>
        <w:jc w:val="both"/>
        <w:rPr>
          <w:lang w:val="tr-TR"/>
        </w:rPr>
      </w:pPr>
      <w:r w:rsidRPr="00623EFA">
        <w:rPr>
          <w:lang w:val="tr-TR"/>
        </w:rPr>
        <w:lastRenderedPageBreak/>
        <w:t xml:space="preserve">Bir İmparatorluğun ve Genç Bir Cumhuriyetin Müzesi başlıklı üçüncü bölüm, Bizans eserlerine gösterilen ilginin, geç dönem Osmanlı İmparatorluğu’nun modern devlet imajını perçinlemede Müze-i </w:t>
      </w:r>
      <w:proofErr w:type="spellStart"/>
      <w:r w:rsidRPr="00623EFA">
        <w:rPr>
          <w:lang w:val="tr-TR"/>
        </w:rPr>
        <w:t>Hümayûn’un</w:t>
      </w:r>
      <w:proofErr w:type="spellEnd"/>
      <w:r w:rsidRPr="00623EFA">
        <w:rPr>
          <w:lang w:val="tr-TR"/>
        </w:rPr>
        <w:t xml:space="preserve"> devletin kültür politikaları ve resmi girişimlerindeki merkezî rolüne katkısını inceliyor. Müzeciliğin erken dönemlerinde, Bizans eserleri koleksiyonu, Osmanlı askeri teçhizatı ve savaş ganimetleriyle birlikte bağlamsız bir şekilde sergilendiği Aya İrini Kilisesi’nden 1880’de Çinili Köşk’e götürüldü. Yaklaşık yirmi yıl sonra koleksiyon bu sefer de avlunun karşı tarafında, </w:t>
      </w:r>
      <w:proofErr w:type="spellStart"/>
      <w:r w:rsidRPr="00623EFA">
        <w:rPr>
          <w:lang w:val="tr-TR"/>
        </w:rPr>
        <w:t>Vallaury’ye</w:t>
      </w:r>
      <w:proofErr w:type="spellEnd"/>
      <w:r w:rsidRPr="00623EFA">
        <w:rPr>
          <w:lang w:val="tr-TR"/>
        </w:rPr>
        <w:t xml:space="preserve">, </w:t>
      </w:r>
      <w:proofErr w:type="spellStart"/>
      <w:r w:rsidRPr="00623EFA">
        <w:rPr>
          <w:lang w:val="tr-TR"/>
        </w:rPr>
        <w:t>Sidon’da</w:t>
      </w:r>
      <w:proofErr w:type="spellEnd"/>
      <w:r w:rsidRPr="00623EFA">
        <w:rPr>
          <w:lang w:val="tr-TR"/>
        </w:rPr>
        <w:t xml:space="preserve"> (Sayda) keşfedilen muazzam lahdin sergilenmesi için yaptırılan </w:t>
      </w:r>
      <w:proofErr w:type="spellStart"/>
      <w:r w:rsidRPr="00623EFA">
        <w:rPr>
          <w:lang w:val="tr-TR"/>
        </w:rPr>
        <w:t>neoklasik</w:t>
      </w:r>
      <w:proofErr w:type="spellEnd"/>
      <w:r w:rsidRPr="00623EFA">
        <w:rPr>
          <w:lang w:val="tr-TR"/>
        </w:rPr>
        <w:t xml:space="preserve"> cepheli müze binasına 1903 ile 1907’de eklenen iki yeni kanada taşındı. Müzenin ilk Türk müdürü (1881–1910) Osman Hamdi Bey, uluslararası işbirliklerini geliştiren bir organizasyonun temellerini atmış, eski eserlerin sınıflandırılması sürecini başlatmış ve koleksiyon kataloglarının yayımlanmasını sağlamıştır. Çalışanlar müze yakınlarından toplanan ufak seramik parçalardan, Bizans Konstantinopolis’i ve hinterlandındaki kamusal alanlara, kiliselerden getirilen büyük heykellere kadar her çeşit Bizans eserine aynı ilgi ve özen göstermişti. Geç Osmanlı ve erken cumhuriyet dönemlerinde hükümetin ve özel yatırımların İstanbul’u modern bir altyapıya kavuşturma çabaları da müzenin koleksiyonunu büyük ölçüde etkilemişti (Dördüncü bölüm, Bizans’ı Yeniden Çerçevelemek: Eski Bir Şehirde Yeni Şehircilik). Şehir modernleştikçe artan inşa faaliyetleri seramik parçaları, sikkeler, mühürler ve diğer küçük eserlerle dolu moloz yığınları oluştururken, yaygın ahşap dokuyu yok eden alışılagelmiş yangınlardan ve depremlerden boşalan araziler de başka Bizans kalıntılarının ortaya çıkmasına yol açmıştı. Ahşap yapı stoklarının arkasında saklı kalmış tuğla örgülü Bizans kiliseleri yeniden görünür olmuştu. İstanbul Arkeoloji Müzeleri kazılarla veya başka yollarla açığa çıkan buluntuların incelenmeleri ve kayıt altına alınmaları için yerel ve uluslararası projeler gerçekleştirmek amacıyla yakın işbirliklerine girişti. Şehrin </w:t>
      </w:r>
      <w:proofErr w:type="spellStart"/>
      <w:r w:rsidRPr="00623EFA">
        <w:rPr>
          <w:lang w:val="tr-TR"/>
        </w:rPr>
        <w:t>Theodosios</w:t>
      </w:r>
      <w:proofErr w:type="spellEnd"/>
      <w:r w:rsidRPr="00623EFA">
        <w:rPr>
          <w:lang w:val="tr-TR"/>
        </w:rPr>
        <w:t xml:space="preserve"> ve Ceneviz surları koruma tartışmalarına konu olduklarında kamuoyunun dikkatini çekti. </w:t>
      </w:r>
    </w:p>
    <w:p w:rsidR="00CC3D6D" w:rsidRPr="00623EFA" w:rsidRDefault="00CC3D6D" w:rsidP="00CC3D6D">
      <w:pPr>
        <w:jc w:val="both"/>
        <w:rPr>
          <w:lang w:val="tr-TR"/>
        </w:rPr>
      </w:pPr>
      <w:proofErr w:type="spellStart"/>
      <w:r w:rsidRPr="00623EFA">
        <w:rPr>
          <w:lang w:val="tr-TR"/>
        </w:rPr>
        <w:t>Theodosios</w:t>
      </w:r>
      <w:proofErr w:type="spellEnd"/>
      <w:r w:rsidRPr="00623EFA">
        <w:rPr>
          <w:lang w:val="tr-TR"/>
        </w:rPr>
        <w:t xml:space="preserve"> Forumu’ndan (Beyazıt Meydanı) Hipodrom ve Büyük Saray’a kadar uzanan alanlarda yapılan kazılar Bizans araştırmalarında çığır açan liderlerin ve çalışmaların ortaya çıkmasına yol açtı (Beşinci bölüm, Yükselen Bir Disiplinin Öncüleri). Bilim insanları Bizans yapılarını, buluntularını ve topografyasını daha doğru kaydetmek için mimar, fotoğrafçı, sanatçı ve kartograf gibi profesyonellerle birlikte çalıştılar. Bizans Konstantinopolis’i hakkındaki bilgileri ayrıntılı haritalar üzerinde sentezlediler ve ellerinde bulunan bol miktardaki seramik sayesinde bu alandaki stratigrafik çalışmaların temelini hazırladılar. Büyük Saray bölgesinin </w:t>
      </w:r>
      <w:proofErr w:type="spellStart"/>
      <w:r w:rsidRPr="00623EFA">
        <w:rPr>
          <w:lang w:val="tr-TR"/>
        </w:rPr>
        <w:t>Palaiologoslar</w:t>
      </w:r>
      <w:proofErr w:type="spellEnd"/>
      <w:r w:rsidRPr="00623EFA">
        <w:rPr>
          <w:lang w:val="tr-TR"/>
        </w:rPr>
        <w:t xml:space="preserve"> döneminde yaşadığı dönüşümü ve Bizans Konstantinopolis’inin ticaret ağlarını aydınlatmanın yanı sıra, çalışmalar, sırlı seramikleri arkeolojik miras olmalarının ötesine, el sanatları alanına taşıdı ve bir başka araştırma alanının açılmasına vesile oldu. </w:t>
      </w:r>
    </w:p>
    <w:p w:rsidR="00CC3D6D" w:rsidRPr="00623EFA" w:rsidRDefault="00CC3D6D" w:rsidP="00CC3D6D">
      <w:pPr>
        <w:jc w:val="both"/>
        <w:rPr>
          <w:lang w:val="tr-TR"/>
        </w:rPr>
      </w:pPr>
      <w:r w:rsidRPr="00623EFA">
        <w:rPr>
          <w:lang w:val="tr-TR"/>
        </w:rPr>
        <w:t>Serginin kapsadığı, on dokuzuncu yüzyıldan yirminci yüzyılın ortalarına uzanan dönem İstanbul için bir</w:t>
      </w:r>
      <w:r w:rsidR="00623EFA">
        <w:rPr>
          <w:lang w:val="tr-TR"/>
        </w:rPr>
        <w:t xml:space="preserve"> dönüm noktasıydı ve kenti adeta</w:t>
      </w:r>
      <w:r w:rsidRPr="00623EFA">
        <w:rPr>
          <w:lang w:val="tr-TR"/>
        </w:rPr>
        <w:t xml:space="preserve"> </w:t>
      </w:r>
      <w:proofErr w:type="spellStart"/>
      <w:r w:rsidRPr="00623EFA">
        <w:rPr>
          <w:lang w:val="tr-TR"/>
        </w:rPr>
        <w:t>postmodern</w:t>
      </w:r>
      <w:proofErr w:type="spellEnd"/>
      <w:r w:rsidRPr="00623EFA">
        <w:rPr>
          <w:lang w:val="tr-TR"/>
        </w:rPr>
        <w:t xml:space="preserve"> çağa taşımıştı. 1955 yılı ise </w:t>
      </w:r>
      <w:proofErr w:type="spellStart"/>
      <w:r w:rsidRPr="00623EFA">
        <w:rPr>
          <w:lang w:val="tr-TR"/>
        </w:rPr>
        <w:t>çokkültürlü</w:t>
      </w:r>
      <w:proofErr w:type="spellEnd"/>
      <w:r w:rsidRPr="00623EFA">
        <w:rPr>
          <w:lang w:val="tr-TR"/>
        </w:rPr>
        <w:t xml:space="preserve"> kimliğinde ve Bizans mirasında iz bırakan çarpıcı tezatlar üretti. Şehrin ilk büyük uluslararası oteli Hilton 10 Haziran’da kutlamalarla açılmış, 6-7 Eylül olayları gerçekleşmiş, 15-21 Eylül tarihleri arasında ilk kez İstanbul’da toplanan Uluslararası Bizans Çalışmaları Kongresi yapılmıştı ve bu olayların arasında sadece birkaç ay bulunuyordu. </w:t>
      </w:r>
    </w:p>
    <w:p w:rsidR="00CC3D6D" w:rsidRPr="00623EFA" w:rsidRDefault="00CC3D6D" w:rsidP="00CC3D6D">
      <w:pPr>
        <w:jc w:val="both"/>
        <w:rPr>
          <w:lang w:val="tr-TR"/>
        </w:rPr>
      </w:pPr>
      <w:r w:rsidRPr="00623EFA">
        <w:rPr>
          <w:lang w:val="tr-TR"/>
        </w:rPr>
        <w:t>Tekrar Sahnelenen Bizans: Bilim İnsanları, Sanatçılar ve Yaratıcı Bağlantılar başlıklı altıncı bölüm, İstanbul’da Bizans’ın yeniden keşfinin yarattığı merakın sanatsal üretime etkilerini göstermek amacıyla on dok</w:t>
      </w:r>
      <w:bookmarkStart w:id="0" w:name="_GoBack"/>
      <w:bookmarkEnd w:id="0"/>
      <w:r w:rsidRPr="00623EFA">
        <w:rPr>
          <w:lang w:val="tr-TR"/>
        </w:rPr>
        <w:t xml:space="preserve">uzuncu yüzyıl sonlarına geri dönüyor. Demiryolu şirketleri ve </w:t>
      </w:r>
      <w:proofErr w:type="gramStart"/>
      <w:r w:rsidRPr="00623EFA">
        <w:rPr>
          <w:lang w:val="tr-TR"/>
        </w:rPr>
        <w:t>prestijli</w:t>
      </w:r>
      <w:proofErr w:type="gramEnd"/>
      <w:r w:rsidRPr="00623EFA">
        <w:rPr>
          <w:lang w:val="tr-TR"/>
        </w:rPr>
        <w:t xml:space="preserve"> oteller Batılı turistleri ağırlarken Bizans, yeni Bizans tarihçilerinin açığa çıkardıkları dünyayı görmek isteyen kültürlü insanlar arasında yeni bir izleyici kitlesi buldu. Sarayburnu’nu ve haremi saran sis yerini yeniden tahayyül edilen bir Bizans’a bıraktı ve bu değişim </w:t>
      </w:r>
      <w:proofErr w:type="spellStart"/>
      <w:r w:rsidRPr="00623EFA">
        <w:rPr>
          <w:lang w:val="tr-TR"/>
        </w:rPr>
        <w:t>Theodora’nın</w:t>
      </w:r>
      <w:proofErr w:type="spellEnd"/>
      <w:r w:rsidRPr="00623EFA">
        <w:rPr>
          <w:lang w:val="tr-TR"/>
        </w:rPr>
        <w:t xml:space="preserve"> Sarah </w:t>
      </w:r>
      <w:proofErr w:type="spellStart"/>
      <w:r w:rsidRPr="00623EFA">
        <w:rPr>
          <w:lang w:val="tr-TR"/>
        </w:rPr>
        <w:t>Bernhardt’da</w:t>
      </w:r>
      <w:proofErr w:type="spellEnd"/>
      <w:r w:rsidRPr="00623EFA">
        <w:rPr>
          <w:lang w:val="tr-TR"/>
        </w:rPr>
        <w:t xml:space="preserve"> hayat bulduğu tiyatro sahnesinde ve Bizans motiflerinin tasarım unsurları olarak kullanıldığı Batı’nın dekoratif sanatlarında da gözlemlendi. Seçkin kitaplarda yer alan renkli taşbaskılar (</w:t>
      </w:r>
      <w:proofErr w:type="spellStart"/>
      <w:r w:rsidRPr="00623EFA">
        <w:rPr>
          <w:lang w:val="tr-TR"/>
        </w:rPr>
        <w:t>kromolitografiler</w:t>
      </w:r>
      <w:proofErr w:type="spellEnd"/>
      <w:r w:rsidRPr="00623EFA">
        <w:rPr>
          <w:lang w:val="tr-TR"/>
        </w:rPr>
        <w:t xml:space="preserve">) İstanbul’da yaşayan ressamlara ilham verirken Thomas </w:t>
      </w:r>
      <w:proofErr w:type="spellStart"/>
      <w:r w:rsidRPr="00623EFA">
        <w:rPr>
          <w:lang w:val="tr-TR"/>
        </w:rPr>
        <w:t>Whittemore</w:t>
      </w:r>
      <w:proofErr w:type="spellEnd"/>
      <w:r w:rsidRPr="00623EFA">
        <w:rPr>
          <w:lang w:val="tr-TR"/>
        </w:rPr>
        <w:t xml:space="preserve"> ve Amerikan Bizans Enstitüsü Ayasofya ve Kariye Camii’nin (</w:t>
      </w:r>
      <w:proofErr w:type="spellStart"/>
      <w:r w:rsidRPr="00623EFA">
        <w:rPr>
          <w:lang w:val="tr-TR"/>
        </w:rPr>
        <w:t>Khora</w:t>
      </w:r>
      <w:proofErr w:type="spellEnd"/>
      <w:r w:rsidRPr="00623EFA">
        <w:rPr>
          <w:lang w:val="tr-TR"/>
        </w:rPr>
        <w:t xml:space="preserve"> Kilisesi) büyük titizlikle yürütülen </w:t>
      </w:r>
      <w:proofErr w:type="gramStart"/>
      <w:r w:rsidRPr="00623EFA">
        <w:rPr>
          <w:lang w:val="tr-TR"/>
        </w:rPr>
        <w:t>restorasyonlarını</w:t>
      </w:r>
      <w:proofErr w:type="gramEnd"/>
      <w:r w:rsidRPr="00623EFA">
        <w:rPr>
          <w:lang w:val="tr-TR"/>
        </w:rPr>
        <w:t xml:space="preserve"> gerçekleştirdi. Bu yapıların büyüleyici mozaik ve </w:t>
      </w:r>
      <w:proofErr w:type="spellStart"/>
      <w:r w:rsidRPr="00623EFA">
        <w:rPr>
          <w:lang w:val="tr-TR"/>
        </w:rPr>
        <w:t>freskolarını</w:t>
      </w:r>
      <w:proofErr w:type="spellEnd"/>
      <w:r w:rsidRPr="00623EFA">
        <w:rPr>
          <w:lang w:val="tr-TR"/>
        </w:rPr>
        <w:t xml:space="preserve"> örten alçı katmanlarının sökülmesi ve resimli kopyalarının dolaşıma sokulması </w:t>
      </w:r>
      <w:proofErr w:type="spellStart"/>
      <w:r w:rsidRPr="00623EFA">
        <w:rPr>
          <w:lang w:val="tr-TR"/>
        </w:rPr>
        <w:t>avangard</w:t>
      </w:r>
      <w:proofErr w:type="spellEnd"/>
      <w:r w:rsidRPr="00623EFA">
        <w:rPr>
          <w:lang w:val="tr-TR"/>
        </w:rPr>
        <w:t xml:space="preserve"> sanat çevrelerinde büyük bir heyecan yaratmış, İstanbul ve Batı arasında yeni ilişkilerin kurulmasına yol açmıştı.</w:t>
      </w:r>
    </w:p>
    <w:p w:rsidR="00CC3D6D" w:rsidRPr="00623EFA" w:rsidRDefault="00CC3D6D" w:rsidP="00CC3D6D">
      <w:pPr>
        <w:jc w:val="both"/>
        <w:rPr>
          <w:lang w:val="tr-TR"/>
        </w:rPr>
      </w:pPr>
      <w:r w:rsidRPr="00623EFA">
        <w:rPr>
          <w:lang w:val="tr-TR"/>
        </w:rPr>
        <w:lastRenderedPageBreak/>
        <w:t xml:space="preserve">İstanbul’dan Bizans’a sergisi ele aldığı döneme, İstanbul’daki siyasal, ekonomik ve kültürel aktörlerin perspektifleri üzerinden bakarak karmaşık bir konu olan modern tarihte Bizans mirasına ışık tutuyor. A. Tayfun Öner’in hazırladığı 3 boyutlu canlandırma Bizans’a bilim kurgu merceğinden bakarken </w:t>
      </w:r>
      <w:proofErr w:type="spellStart"/>
      <w:r w:rsidRPr="00623EFA">
        <w:rPr>
          <w:lang w:val="tr-TR"/>
        </w:rPr>
        <w:t>Nejad</w:t>
      </w:r>
      <w:proofErr w:type="spellEnd"/>
      <w:r w:rsidRPr="00623EFA">
        <w:rPr>
          <w:lang w:val="tr-TR"/>
        </w:rPr>
        <w:t xml:space="preserve"> Melih Devrim (1923–1995) ile Fikret Mualla’nın (1903– 1967) Bizans’tan esinlenen resimleri Bizans’ın modern sanat üzerindeki etkisine değiniyor. </w:t>
      </w:r>
    </w:p>
    <w:p w:rsidR="00CC3D6D" w:rsidRPr="00623EFA" w:rsidRDefault="00CC3D6D" w:rsidP="00CC3D6D">
      <w:pPr>
        <w:jc w:val="both"/>
        <w:rPr>
          <w:lang w:val="tr-TR"/>
        </w:rPr>
      </w:pPr>
      <w:r w:rsidRPr="00623EFA">
        <w:rPr>
          <w:lang w:val="tr-TR"/>
        </w:rPr>
        <w:t xml:space="preserve">Serginin merkezinde İstanbul Arkeoloji Müzeleri’nin cömertçe ödünç verdiği çok sayıda eser yer alıyor. Seçkide, Bizans İmparatorluğu’nun geniş coğrafyasını temsilen, bazıları Aya İrini’de de sergilenmiş erken </w:t>
      </w:r>
      <w:proofErr w:type="gramStart"/>
      <w:r w:rsidRPr="00623EFA">
        <w:rPr>
          <w:lang w:val="tr-TR"/>
        </w:rPr>
        <w:t>envanterli</w:t>
      </w:r>
      <w:proofErr w:type="gramEnd"/>
      <w:r w:rsidRPr="00623EFA">
        <w:rPr>
          <w:lang w:val="tr-TR"/>
        </w:rPr>
        <w:t xml:space="preserve"> eserlerin yanı sıra, I. Dünya Savaşı sırasında ve sonrasında İstanbul’daki kazılarda bulunmuş mimari plastik parçalar, daha önce yayınlanmamış (veya görselleştirilmemiş) çok sayıda eser; Konstantinopolis Rus Arkeoloji Enstitüsü (1894–1914) Bizans koleksiyonundan küçük eserler ve aralarında, üç ciltlik A </w:t>
      </w:r>
      <w:proofErr w:type="spellStart"/>
      <w:r w:rsidRPr="00623EFA">
        <w:rPr>
          <w:lang w:val="tr-TR"/>
        </w:rPr>
        <w:t>History</w:t>
      </w:r>
      <w:proofErr w:type="spellEnd"/>
      <w:r w:rsidRPr="00623EFA">
        <w:rPr>
          <w:lang w:val="tr-TR"/>
        </w:rPr>
        <w:t xml:space="preserve"> of </w:t>
      </w:r>
      <w:proofErr w:type="spellStart"/>
      <w:r w:rsidRPr="00623EFA">
        <w:rPr>
          <w:lang w:val="tr-TR"/>
        </w:rPr>
        <w:t>the</w:t>
      </w:r>
      <w:proofErr w:type="spellEnd"/>
      <w:r w:rsidRPr="00623EFA">
        <w:rPr>
          <w:lang w:val="tr-TR"/>
        </w:rPr>
        <w:t xml:space="preserve"> </w:t>
      </w:r>
      <w:proofErr w:type="spellStart"/>
      <w:r w:rsidRPr="00623EFA">
        <w:rPr>
          <w:lang w:val="tr-TR"/>
        </w:rPr>
        <w:t>Crusades</w:t>
      </w:r>
      <w:proofErr w:type="spellEnd"/>
      <w:r w:rsidRPr="00623EFA">
        <w:rPr>
          <w:lang w:val="tr-TR"/>
        </w:rPr>
        <w:t xml:space="preserve"> [Haçlı Seferleri Tarihi] eseriyle tanınan ünlü Britanyalı tarihçi </w:t>
      </w:r>
      <w:proofErr w:type="spellStart"/>
      <w:r w:rsidRPr="00623EFA">
        <w:rPr>
          <w:lang w:val="tr-TR"/>
        </w:rPr>
        <w:t>Sir</w:t>
      </w:r>
      <w:proofErr w:type="spellEnd"/>
      <w:r w:rsidRPr="00623EFA">
        <w:rPr>
          <w:lang w:val="tr-TR"/>
        </w:rPr>
        <w:t xml:space="preserve"> Steven </w:t>
      </w:r>
      <w:proofErr w:type="spellStart"/>
      <w:r w:rsidRPr="00623EFA">
        <w:rPr>
          <w:lang w:val="tr-TR"/>
        </w:rPr>
        <w:t>Runciman’ın</w:t>
      </w:r>
      <w:proofErr w:type="spellEnd"/>
      <w:r w:rsidRPr="00623EFA">
        <w:rPr>
          <w:lang w:val="tr-TR"/>
        </w:rPr>
        <w:t xml:space="preserve"> (1903–2000) İstanbul Üniversitesi’nde ders verirken müzeye bağışladığı bronz bir kuyumcu kalıbının da yer aldığı hediyeler de bulunuyor. Bizans’ın devlet idaresi ve topografyasına dair son derece değerli veriler sunan yazıtlar gibi kentsel yapılaşma projeleri sırasında keşfedilen buluntulara da sergide özel bir önem veriliyor. </w:t>
      </w:r>
    </w:p>
    <w:p w:rsidR="00CC3D6D" w:rsidRPr="00623EFA" w:rsidRDefault="00CC3D6D" w:rsidP="00CC3D6D">
      <w:pPr>
        <w:jc w:val="both"/>
        <w:rPr>
          <w:lang w:val="tr-TR"/>
        </w:rPr>
      </w:pPr>
      <w:r w:rsidRPr="00623EFA">
        <w:rPr>
          <w:lang w:val="tr-TR"/>
        </w:rPr>
        <w:t xml:space="preserve">Bizans’a duyulan bilimsel ilgi önce yazıtbilim (epigrafi) ve </w:t>
      </w:r>
      <w:proofErr w:type="spellStart"/>
      <w:r w:rsidRPr="00623EFA">
        <w:rPr>
          <w:lang w:val="tr-TR"/>
        </w:rPr>
        <w:t>nümismatik</w:t>
      </w:r>
      <w:proofErr w:type="spellEnd"/>
      <w:r w:rsidRPr="00623EFA">
        <w:rPr>
          <w:lang w:val="tr-TR"/>
        </w:rPr>
        <w:t xml:space="preserve"> disiplinlerinde ortaya çıkmıştır. Rönesans hümanistleri örneğinden esinlenen </w:t>
      </w:r>
      <w:proofErr w:type="spellStart"/>
      <w:r w:rsidRPr="00623EFA">
        <w:rPr>
          <w:lang w:val="tr-TR"/>
        </w:rPr>
        <w:t>Dersaadet</w:t>
      </w:r>
      <w:proofErr w:type="spellEnd"/>
      <w:r w:rsidRPr="00623EFA">
        <w:rPr>
          <w:lang w:val="tr-TR"/>
        </w:rPr>
        <w:t xml:space="preserve"> Rum Cemiyet-i </w:t>
      </w:r>
      <w:proofErr w:type="spellStart"/>
      <w:r w:rsidRPr="00623EFA">
        <w:rPr>
          <w:lang w:val="tr-TR"/>
        </w:rPr>
        <w:t>Edebiyesi</w:t>
      </w:r>
      <w:proofErr w:type="spellEnd"/>
      <w:r w:rsidRPr="00623EFA">
        <w:rPr>
          <w:lang w:val="tr-TR"/>
        </w:rPr>
        <w:t xml:space="preserve"> kurucuları Grekçe yazıtların toplanması ve kaydedilmeleri için bir program hazırlamışlardı. Sergide bir araya getirilen farklı malzemelerden sayısız eser, gösterişli bir üslupta resimlendirilmiş kitapların, fotoğrafların, haritaların ve A. Tayfun Öner’in hazırladığı </w:t>
      </w:r>
      <w:proofErr w:type="spellStart"/>
      <w:r w:rsidRPr="00623EFA">
        <w:rPr>
          <w:lang w:val="tr-TR"/>
        </w:rPr>
        <w:t>Eugène</w:t>
      </w:r>
      <w:proofErr w:type="spellEnd"/>
      <w:r w:rsidRPr="00623EFA">
        <w:rPr>
          <w:lang w:val="tr-TR"/>
        </w:rPr>
        <w:t xml:space="preserve"> </w:t>
      </w:r>
      <w:proofErr w:type="spellStart"/>
      <w:r w:rsidRPr="00623EFA">
        <w:rPr>
          <w:lang w:val="tr-TR"/>
        </w:rPr>
        <w:t>Antoniadi’nin</w:t>
      </w:r>
      <w:proofErr w:type="spellEnd"/>
      <w:r w:rsidRPr="00623EFA">
        <w:rPr>
          <w:lang w:val="tr-TR"/>
        </w:rPr>
        <w:t xml:space="preserve"> olağanüstü kariyerinin ayrıntılarını ele alan 3 boyutlu bir canlandırmanın anlattığı hikâyeyi tamamlıyor. </w:t>
      </w:r>
    </w:p>
    <w:p w:rsidR="00CC3D6D" w:rsidRPr="00623EFA" w:rsidRDefault="00CC3D6D" w:rsidP="00CC3D6D">
      <w:pPr>
        <w:jc w:val="both"/>
        <w:rPr>
          <w:lang w:val="tr-TR"/>
        </w:rPr>
      </w:pPr>
      <w:proofErr w:type="gramStart"/>
      <w:r w:rsidRPr="00623EFA">
        <w:rPr>
          <w:lang w:val="tr-TR"/>
        </w:rPr>
        <w:t xml:space="preserve">Sergilenen sıra dışı nadir baskı eserler arasında, İstanbul Üniversitesi Nadir Eserler Kütüphanesi’nin cömertçe sergilememize izin verdiği ve </w:t>
      </w:r>
      <w:proofErr w:type="spellStart"/>
      <w:r w:rsidRPr="00623EFA">
        <w:rPr>
          <w:lang w:val="tr-TR"/>
        </w:rPr>
        <w:t>Gaspare</w:t>
      </w:r>
      <w:proofErr w:type="spellEnd"/>
      <w:r w:rsidRPr="00623EFA">
        <w:rPr>
          <w:lang w:val="tr-TR"/>
        </w:rPr>
        <w:t xml:space="preserve"> </w:t>
      </w:r>
      <w:proofErr w:type="spellStart"/>
      <w:r w:rsidRPr="00623EFA">
        <w:rPr>
          <w:lang w:val="tr-TR"/>
        </w:rPr>
        <w:t>Fossati’nin</w:t>
      </w:r>
      <w:proofErr w:type="spellEnd"/>
      <w:r w:rsidRPr="00623EFA">
        <w:rPr>
          <w:lang w:val="tr-TR"/>
        </w:rPr>
        <w:t xml:space="preserve"> imzalı bir mektup eşliğinde (20 Ocak 1853) Sultan Abdülmecid’e özel nüsha olarak sunduğu, Ayasofya’nın iç ve dış görünümlerinin elle renklendirilmiş levhalarını içeren albüm; İstanbul Arkeoloji Müzeleri’nin seçkin kütüphanesine kayıtlı, tanınmış Rus sanat tarihçisi Nikolas P. </w:t>
      </w:r>
      <w:proofErr w:type="spellStart"/>
      <w:r w:rsidRPr="00623EFA">
        <w:rPr>
          <w:lang w:val="tr-TR"/>
        </w:rPr>
        <w:t>Kondakov’un</w:t>
      </w:r>
      <w:proofErr w:type="spellEnd"/>
      <w:r w:rsidRPr="00623EFA">
        <w:rPr>
          <w:lang w:val="tr-TR"/>
        </w:rPr>
        <w:t xml:space="preserve"> hazırladığı, </w:t>
      </w:r>
      <w:proofErr w:type="spellStart"/>
      <w:r w:rsidRPr="00623EFA">
        <w:rPr>
          <w:lang w:val="tr-TR"/>
        </w:rPr>
        <w:t>Aaron</w:t>
      </w:r>
      <w:proofErr w:type="spellEnd"/>
      <w:r w:rsidRPr="00623EFA">
        <w:rPr>
          <w:lang w:val="tr-TR"/>
        </w:rPr>
        <w:t xml:space="preserve"> W. </w:t>
      </w:r>
      <w:proofErr w:type="spellStart"/>
      <w:r w:rsidRPr="00623EFA">
        <w:rPr>
          <w:lang w:val="tr-TR"/>
        </w:rPr>
        <w:t>Zwenigorodskoi’un</w:t>
      </w:r>
      <w:proofErr w:type="spellEnd"/>
      <w:r w:rsidRPr="00623EFA">
        <w:rPr>
          <w:lang w:val="tr-TR"/>
        </w:rPr>
        <w:t xml:space="preserve"> koleksiyonundan Bizans mineli eserlerin yer aldığı ve Osman Hamdi Bey’e el yazısıyla ithaf içeren numaralı, sınırlı sayıda basılmış katalog nüshası; Ömer Koç Koleksiyonu’na ait, </w:t>
      </w:r>
      <w:proofErr w:type="spellStart"/>
      <w:r w:rsidRPr="00623EFA">
        <w:rPr>
          <w:lang w:val="tr-TR"/>
        </w:rPr>
        <w:t>Philipp</w:t>
      </w:r>
      <w:proofErr w:type="spellEnd"/>
      <w:r w:rsidRPr="00623EFA">
        <w:rPr>
          <w:lang w:val="tr-TR"/>
        </w:rPr>
        <w:t xml:space="preserve"> </w:t>
      </w:r>
      <w:proofErr w:type="spellStart"/>
      <w:r w:rsidRPr="00623EFA">
        <w:rPr>
          <w:lang w:val="tr-TR"/>
        </w:rPr>
        <w:t>Anton</w:t>
      </w:r>
      <w:proofErr w:type="spellEnd"/>
      <w:r w:rsidRPr="00623EFA">
        <w:rPr>
          <w:lang w:val="tr-TR"/>
        </w:rPr>
        <w:t xml:space="preserve"> </w:t>
      </w:r>
      <w:proofErr w:type="spellStart"/>
      <w:r w:rsidRPr="00623EFA">
        <w:rPr>
          <w:lang w:val="tr-TR"/>
        </w:rPr>
        <w:t>Dethier’ye</w:t>
      </w:r>
      <w:proofErr w:type="spellEnd"/>
      <w:r w:rsidRPr="00623EFA">
        <w:rPr>
          <w:lang w:val="tr-TR"/>
        </w:rPr>
        <w:t xml:space="preserve"> Viyana Dünya Fuarı (1873) için sipariş edilen, Konstantinopolis ile Boğaz hakkındaki kısa bir metne seyyah anlatılarının ve Konstantinopolis’teki Bizans kiliselerinin resimli mimari incelemelerinin yer aldığı kitaplar eşlik ediyor. </w:t>
      </w:r>
      <w:proofErr w:type="gramEnd"/>
    </w:p>
    <w:p w:rsidR="00CC3D6D" w:rsidRPr="00623EFA" w:rsidRDefault="00CC3D6D" w:rsidP="00CC3D6D">
      <w:pPr>
        <w:jc w:val="both"/>
        <w:rPr>
          <w:lang w:val="tr-TR"/>
        </w:rPr>
      </w:pPr>
      <w:r w:rsidRPr="00623EFA">
        <w:rPr>
          <w:lang w:val="tr-TR"/>
        </w:rPr>
        <w:t xml:space="preserve">İstanbul Araştırmaları Enstitüsü ve Suna ve İnan Kıraç Koleksiyonu’na ait zengin bir fotoğraf ve kitap seçkisi, İstanbul Alman Arkeoloji Enstitüsü, Birmingham East </w:t>
      </w:r>
      <w:proofErr w:type="spellStart"/>
      <w:r w:rsidRPr="00623EFA">
        <w:rPr>
          <w:lang w:val="tr-TR"/>
        </w:rPr>
        <w:t>Mediterranean</w:t>
      </w:r>
      <w:proofErr w:type="spellEnd"/>
      <w:r w:rsidRPr="00623EFA">
        <w:rPr>
          <w:lang w:val="tr-TR"/>
        </w:rPr>
        <w:t xml:space="preserve"> Archive, </w:t>
      </w:r>
      <w:proofErr w:type="spellStart"/>
      <w:r w:rsidRPr="00623EFA">
        <w:rPr>
          <w:lang w:val="tr-TR"/>
        </w:rPr>
        <w:t>Dumbarton</w:t>
      </w:r>
      <w:proofErr w:type="spellEnd"/>
      <w:r w:rsidRPr="00623EFA">
        <w:rPr>
          <w:lang w:val="tr-TR"/>
        </w:rPr>
        <w:t xml:space="preserve"> </w:t>
      </w:r>
      <w:proofErr w:type="spellStart"/>
      <w:r w:rsidRPr="00623EFA">
        <w:rPr>
          <w:lang w:val="tr-TR"/>
        </w:rPr>
        <w:t>Oaks</w:t>
      </w:r>
      <w:proofErr w:type="spellEnd"/>
      <w:r w:rsidRPr="00623EFA">
        <w:rPr>
          <w:lang w:val="tr-TR"/>
        </w:rPr>
        <w:t>, Washington DC, Fransa Millî Kütüphanesi (</w:t>
      </w:r>
      <w:proofErr w:type="spellStart"/>
      <w:r w:rsidRPr="00623EFA">
        <w:rPr>
          <w:lang w:val="tr-TR"/>
        </w:rPr>
        <w:t>Bibliothèque</w:t>
      </w:r>
      <w:proofErr w:type="spellEnd"/>
      <w:r w:rsidRPr="00623EFA">
        <w:rPr>
          <w:lang w:val="tr-TR"/>
        </w:rPr>
        <w:t xml:space="preserve"> </w:t>
      </w:r>
      <w:proofErr w:type="spellStart"/>
      <w:r w:rsidRPr="00623EFA">
        <w:rPr>
          <w:lang w:val="tr-TR"/>
        </w:rPr>
        <w:t>nationale</w:t>
      </w:r>
      <w:proofErr w:type="spellEnd"/>
      <w:r w:rsidRPr="00623EFA">
        <w:rPr>
          <w:lang w:val="tr-TR"/>
        </w:rPr>
        <w:t xml:space="preserve"> de France), </w:t>
      </w:r>
      <w:proofErr w:type="spellStart"/>
      <w:r w:rsidRPr="00623EFA">
        <w:rPr>
          <w:lang w:val="tr-TR"/>
        </w:rPr>
        <w:t>Collège</w:t>
      </w:r>
      <w:proofErr w:type="spellEnd"/>
      <w:r w:rsidRPr="00623EFA">
        <w:rPr>
          <w:lang w:val="tr-TR"/>
        </w:rPr>
        <w:t xml:space="preserve"> de France Bizans Kütüphanesi </w:t>
      </w:r>
      <w:proofErr w:type="spellStart"/>
      <w:r w:rsidRPr="00623EFA">
        <w:rPr>
          <w:lang w:val="tr-TR"/>
        </w:rPr>
        <w:t>Fonds</w:t>
      </w:r>
      <w:proofErr w:type="spellEnd"/>
      <w:r w:rsidRPr="00623EFA">
        <w:rPr>
          <w:lang w:val="tr-TR"/>
        </w:rPr>
        <w:t xml:space="preserve"> </w:t>
      </w:r>
      <w:proofErr w:type="spellStart"/>
      <w:r w:rsidRPr="00623EFA">
        <w:rPr>
          <w:lang w:val="tr-TR"/>
        </w:rPr>
        <w:t>Whittemore’dan</w:t>
      </w:r>
      <w:proofErr w:type="spellEnd"/>
      <w:r w:rsidRPr="00623EFA">
        <w:rPr>
          <w:lang w:val="tr-TR"/>
        </w:rPr>
        <w:t xml:space="preserve"> alınan arşiv fotoğraflarına eşlik ediyor. </w:t>
      </w:r>
      <w:proofErr w:type="gramStart"/>
      <w:r w:rsidRPr="00623EFA">
        <w:rPr>
          <w:lang w:val="tr-TR"/>
        </w:rPr>
        <w:t xml:space="preserve">Ömer Koç, kütüphanesinden zengin bir nadir kitap seçkisine ek olarak sergilememize cömertçe izin verdiği </w:t>
      </w:r>
      <w:proofErr w:type="spellStart"/>
      <w:r w:rsidRPr="00623EFA">
        <w:rPr>
          <w:lang w:val="tr-TR"/>
        </w:rPr>
        <w:t>Alexandre</w:t>
      </w:r>
      <w:proofErr w:type="spellEnd"/>
      <w:r w:rsidRPr="00623EFA">
        <w:rPr>
          <w:lang w:val="tr-TR"/>
        </w:rPr>
        <w:t xml:space="preserve"> </w:t>
      </w:r>
      <w:proofErr w:type="spellStart"/>
      <w:r w:rsidRPr="00623EFA">
        <w:rPr>
          <w:lang w:val="tr-TR"/>
        </w:rPr>
        <w:t>Raymond’nun</w:t>
      </w:r>
      <w:proofErr w:type="spellEnd"/>
      <w:r w:rsidRPr="00623EFA">
        <w:rPr>
          <w:lang w:val="tr-TR"/>
        </w:rPr>
        <w:t xml:space="preserve"> orijinal çizimleriyle ve </w:t>
      </w:r>
      <w:proofErr w:type="spellStart"/>
      <w:r w:rsidRPr="00623EFA">
        <w:rPr>
          <w:lang w:val="tr-TR"/>
        </w:rPr>
        <w:t>École</w:t>
      </w:r>
      <w:proofErr w:type="spellEnd"/>
      <w:r w:rsidRPr="00623EFA">
        <w:rPr>
          <w:lang w:val="tr-TR"/>
        </w:rPr>
        <w:t xml:space="preserve"> </w:t>
      </w:r>
      <w:proofErr w:type="spellStart"/>
      <w:r w:rsidRPr="00623EFA">
        <w:rPr>
          <w:lang w:val="tr-TR"/>
        </w:rPr>
        <w:t>Pratique</w:t>
      </w:r>
      <w:proofErr w:type="spellEnd"/>
      <w:r w:rsidRPr="00623EFA">
        <w:rPr>
          <w:lang w:val="tr-TR"/>
        </w:rPr>
        <w:t xml:space="preserve"> </w:t>
      </w:r>
      <w:proofErr w:type="spellStart"/>
      <w:r w:rsidRPr="00623EFA">
        <w:rPr>
          <w:lang w:val="tr-TR"/>
        </w:rPr>
        <w:t>des</w:t>
      </w:r>
      <w:proofErr w:type="spellEnd"/>
      <w:r w:rsidRPr="00623EFA">
        <w:rPr>
          <w:lang w:val="tr-TR"/>
        </w:rPr>
        <w:t xml:space="preserve"> </w:t>
      </w:r>
      <w:proofErr w:type="spellStart"/>
      <w:r w:rsidRPr="00623EFA">
        <w:rPr>
          <w:lang w:val="tr-TR"/>
        </w:rPr>
        <w:t>Hautes</w:t>
      </w:r>
      <w:proofErr w:type="spellEnd"/>
      <w:r w:rsidRPr="00623EFA">
        <w:rPr>
          <w:lang w:val="tr-TR"/>
        </w:rPr>
        <w:t xml:space="preserve"> </w:t>
      </w:r>
      <w:proofErr w:type="spellStart"/>
      <w:r w:rsidRPr="00623EFA">
        <w:rPr>
          <w:lang w:val="tr-TR"/>
        </w:rPr>
        <w:t>Études</w:t>
      </w:r>
      <w:proofErr w:type="spellEnd"/>
      <w:r w:rsidRPr="00623EFA">
        <w:rPr>
          <w:lang w:val="tr-TR"/>
        </w:rPr>
        <w:t xml:space="preserve">, </w:t>
      </w:r>
      <w:proofErr w:type="spellStart"/>
      <w:r w:rsidRPr="00623EFA">
        <w:rPr>
          <w:lang w:val="tr-TR"/>
        </w:rPr>
        <w:t>Photothèque</w:t>
      </w:r>
      <w:proofErr w:type="spellEnd"/>
      <w:r w:rsidRPr="00623EFA">
        <w:rPr>
          <w:lang w:val="tr-TR"/>
        </w:rPr>
        <w:t xml:space="preserve"> </w:t>
      </w:r>
      <w:proofErr w:type="spellStart"/>
      <w:r w:rsidRPr="00623EFA">
        <w:rPr>
          <w:lang w:val="tr-TR"/>
        </w:rPr>
        <w:t>Gabriel</w:t>
      </w:r>
      <w:proofErr w:type="spellEnd"/>
      <w:r w:rsidRPr="00623EFA">
        <w:rPr>
          <w:lang w:val="tr-TR"/>
        </w:rPr>
        <w:t xml:space="preserve"> Millet, Hristiyan ve Bizans Koleksiyonu, Jean </w:t>
      </w:r>
      <w:proofErr w:type="spellStart"/>
      <w:r w:rsidRPr="00623EFA">
        <w:rPr>
          <w:lang w:val="tr-TR"/>
        </w:rPr>
        <w:t>Ebersolt</w:t>
      </w:r>
      <w:proofErr w:type="spellEnd"/>
      <w:r w:rsidRPr="00623EFA">
        <w:rPr>
          <w:lang w:val="tr-TR"/>
        </w:rPr>
        <w:t xml:space="preserve"> ve </w:t>
      </w:r>
      <w:proofErr w:type="spellStart"/>
      <w:r w:rsidRPr="00623EFA">
        <w:rPr>
          <w:lang w:val="tr-TR"/>
        </w:rPr>
        <w:t>Adolphe</w:t>
      </w:r>
      <w:proofErr w:type="spellEnd"/>
      <w:r w:rsidRPr="00623EFA">
        <w:rPr>
          <w:lang w:val="tr-TR"/>
        </w:rPr>
        <w:t xml:space="preserve"> </w:t>
      </w:r>
      <w:proofErr w:type="spellStart"/>
      <w:r w:rsidRPr="00623EFA">
        <w:rPr>
          <w:lang w:val="tr-TR"/>
        </w:rPr>
        <w:t>Thiers’nin</w:t>
      </w:r>
      <w:proofErr w:type="spellEnd"/>
      <w:r w:rsidRPr="00623EFA">
        <w:rPr>
          <w:lang w:val="tr-TR"/>
        </w:rPr>
        <w:t xml:space="preserve"> </w:t>
      </w:r>
      <w:proofErr w:type="spellStart"/>
      <w:r w:rsidRPr="00623EFA">
        <w:rPr>
          <w:lang w:val="tr-TR"/>
        </w:rPr>
        <w:t>Les</w:t>
      </w:r>
      <w:proofErr w:type="spellEnd"/>
      <w:r w:rsidRPr="00623EFA">
        <w:rPr>
          <w:lang w:val="tr-TR"/>
        </w:rPr>
        <w:t xml:space="preserve"> </w:t>
      </w:r>
      <w:proofErr w:type="spellStart"/>
      <w:r w:rsidRPr="00623EFA">
        <w:rPr>
          <w:lang w:val="tr-TR"/>
        </w:rPr>
        <w:t>Églises</w:t>
      </w:r>
      <w:proofErr w:type="spellEnd"/>
      <w:r w:rsidRPr="00623EFA">
        <w:rPr>
          <w:lang w:val="tr-TR"/>
        </w:rPr>
        <w:t xml:space="preserve"> de </w:t>
      </w:r>
      <w:proofErr w:type="spellStart"/>
      <w:r w:rsidRPr="00623EFA">
        <w:rPr>
          <w:lang w:val="tr-TR"/>
        </w:rPr>
        <w:t>Constantinople</w:t>
      </w:r>
      <w:proofErr w:type="spellEnd"/>
      <w:r w:rsidRPr="00623EFA">
        <w:rPr>
          <w:lang w:val="tr-TR"/>
        </w:rPr>
        <w:t xml:space="preserve"> (1913, Konstantinopolis Kiliseleri) başlıklı eserinden harikulade bir dizi orijinal çizimle sergiye katkıda bulunuyorlar. </w:t>
      </w:r>
      <w:proofErr w:type="gramEnd"/>
      <w:r w:rsidRPr="00623EFA">
        <w:rPr>
          <w:lang w:val="tr-TR"/>
        </w:rPr>
        <w:t xml:space="preserve">Serap Kayhan ve </w:t>
      </w:r>
      <w:proofErr w:type="spellStart"/>
      <w:r w:rsidRPr="00623EFA">
        <w:rPr>
          <w:lang w:val="tr-TR"/>
        </w:rPr>
        <w:t>Safder</w:t>
      </w:r>
      <w:proofErr w:type="spellEnd"/>
      <w:r w:rsidRPr="00623EFA">
        <w:rPr>
          <w:lang w:val="tr-TR"/>
        </w:rPr>
        <w:t xml:space="preserve"> </w:t>
      </w:r>
      <w:proofErr w:type="spellStart"/>
      <w:r w:rsidRPr="00623EFA">
        <w:rPr>
          <w:lang w:val="tr-TR"/>
        </w:rPr>
        <w:t>Tarim</w:t>
      </w:r>
      <w:proofErr w:type="spellEnd"/>
      <w:r w:rsidRPr="00623EFA">
        <w:rPr>
          <w:lang w:val="tr-TR"/>
        </w:rPr>
        <w:t xml:space="preserve"> Koleksiyonundan resimlere ek olarak Büke Uras’ın katkıda bulunduğu fotoğraflar ve harita kurguya farklı bir dinamizm katıyorlar. </w:t>
      </w:r>
    </w:p>
    <w:p w:rsidR="00CC3D6D" w:rsidRPr="00623EFA" w:rsidRDefault="00CC3D6D" w:rsidP="00CC3D6D">
      <w:pPr>
        <w:jc w:val="both"/>
        <w:rPr>
          <w:lang w:val="tr-TR"/>
        </w:rPr>
      </w:pPr>
      <w:r w:rsidRPr="00623EFA">
        <w:rPr>
          <w:lang w:val="tr-TR"/>
        </w:rPr>
        <w:t xml:space="preserve">Bu sergi, İstanbul Araştırmaları Enstitüsü’nün onuncu kuruluş yıldönümü vesilesiyle Kasım 2017’de Pera Müzesi’nde gerçekleştirilen İstanbul’da Bizans’ı Keşfetmek: Bilim İnsanları, Kurumlar ve Mücadeleler, 1800–1955 başlıklı </w:t>
      </w:r>
      <w:proofErr w:type="gramStart"/>
      <w:r w:rsidRPr="00623EFA">
        <w:rPr>
          <w:lang w:val="tr-TR"/>
        </w:rPr>
        <w:t>sempozyumdan</w:t>
      </w:r>
      <w:proofErr w:type="gramEnd"/>
      <w:r w:rsidRPr="00623EFA">
        <w:rPr>
          <w:lang w:val="tr-TR"/>
        </w:rPr>
        <w:t xml:space="preserve"> hareketle ortaya çıktı. Ağustos 2021’de İstanbul’da yapılması planlanan fakat 22–27 Ağustos 2022’ye ertelenerek Venedik-</w:t>
      </w:r>
      <w:proofErr w:type="spellStart"/>
      <w:r w:rsidRPr="00623EFA">
        <w:rPr>
          <w:lang w:val="tr-TR"/>
        </w:rPr>
        <w:t>Padova’ya</w:t>
      </w:r>
      <w:proofErr w:type="spellEnd"/>
      <w:r w:rsidRPr="00623EFA">
        <w:rPr>
          <w:lang w:val="tr-TR"/>
        </w:rPr>
        <w:t xml:space="preserve"> taşınan 24. Uluslararası Bizans Çalışmaları Kongresi’ne eşlik edecek bir kültürel etkinlik olarak tasarlanmıştı. Sempozyum bildirilerinden oluşan ve yakında yayımlanacak bir diğer kitap, bu katalogda yer alan ve yazarlarının konuları kapsamında yeni bakış açıları geliştirmek ve bilinmeyen (veya az bilinen) arşiv malzemelerine odaklanmak için teşvik edildikleri on üç makaledeki tartışmaları zenginleştirecek. </w:t>
      </w:r>
    </w:p>
    <w:p w:rsidR="00CC3D6D" w:rsidRPr="00623EFA" w:rsidRDefault="00CC3D6D" w:rsidP="00CC3D6D">
      <w:pPr>
        <w:jc w:val="both"/>
        <w:rPr>
          <w:lang w:val="tr-TR"/>
        </w:rPr>
      </w:pPr>
      <w:r w:rsidRPr="00623EFA">
        <w:rPr>
          <w:lang w:val="tr-TR"/>
        </w:rPr>
        <w:lastRenderedPageBreak/>
        <w:t xml:space="preserve">Son olarak, tüm katılımcılara, eser ödünç veren kişi ve kurumlara, ayrıca 2017 yılındaki </w:t>
      </w:r>
      <w:proofErr w:type="gramStart"/>
      <w:r w:rsidRPr="00623EFA">
        <w:rPr>
          <w:lang w:val="tr-TR"/>
        </w:rPr>
        <w:t>sempozyumu</w:t>
      </w:r>
      <w:proofErr w:type="gramEnd"/>
      <w:r w:rsidRPr="00623EFA">
        <w:rPr>
          <w:lang w:val="tr-TR"/>
        </w:rPr>
        <w:t xml:space="preserve"> birlikte düzenlediğim </w:t>
      </w:r>
      <w:proofErr w:type="spellStart"/>
      <w:r w:rsidRPr="00623EFA">
        <w:rPr>
          <w:lang w:val="tr-TR"/>
        </w:rPr>
        <w:t>Olivier</w:t>
      </w:r>
      <w:proofErr w:type="spellEnd"/>
      <w:r w:rsidRPr="00623EFA">
        <w:rPr>
          <w:lang w:val="tr-TR"/>
        </w:rPr>
        <w:t xml:space="preserve"> </w:t>
      </w:r>
      <w:proofErr w:type="spellStart"/>
      <w:r w:rsidRPr="00623EFA">
        <w:rPr>
          <w:lang w:val="tr-TR"/>
        </w:rPr>
        <w:t>Delouis’ye</w:t>
      </w:r>
      <w:proofErr w:type="spellEnd"/>
      <w:r w:rsidRPr="00623EFA">
        <w:rPr>
          <w:lang w:val="tr-TR"/>
        </w:rPr>
        <w:t xml:space="preserve"> içten teşekkürlerimi sunmak istiyorum. Her sergi bir takım çalışmasının ürünü. İstanbul Araştırmaları Enstitüsü ve Pera Müzesi’ndeki dostlarımın ve meslektaşlarımın adanmışlıkları ve cömertlikleri olmasaydı İstanbul’dan Bizans’a sergisi de mümkün olmazdı, her birine müteşekkirim. Suna ve İnan Kıraç Vakfı’na, Vakfın Kültür ve Sanat İşletmesi Genel Müdürü M. Özalp Birol’a en içten teşekkürlerimi sunuyor ve bu projeyi kanatlandıran Suna Kıraç’ın ilham verici hatırasını da saygıyla anıyorum.</w:t>
      </w:r>
    </w:p>
    <w:sectPr w:rsidR="00CC3D6D" w:rsidRPr="00623EFA" w:rsidSect="00CC3D6D">
      <w:head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215" w:rsidRDefault="005F7215" w:rsidP="0088289A">
      <w:pPr>
        <w:spacing w:after="0" w:line="240" w:lineRule="auto"/>
      </w:pPr>
      <w:r>
        <w:separator/>
      </w:r>
    </w:p>
  </w:endnote>
  <w:endnote w:type="continuationSeparator" w:id="0">
    <w:p w:rsidR="005F7215" w:rsidRDefault="005F7215" w:rsidP="00882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215" w:rsidRDefault="005F7215" w:rsidP="0088289A">
      <w:pPr>
        <w:spacing w:after="0" w:line="240" w:lineRule="auto"/>
      </w:pPr>
      <w:r>
        <w:separator/>
      </w:r>
    </w:p>
  </w:footnote>
  <w:footnote w:type="continuationSeparator" w:id="0">
    <w:p w:rsidR="005F7215" w:rsidRDefault="005F7215" w:rsidP="008828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A" w:rsidRDefault="0088289A" w:rsidP="0088289A">
    <w:pPr>
      <w:pStyle w:val="stbilgi"/>
      <w:jc w:val="center"/>
    </w:pPr>
    <w:r>
      <w:rPr>
        <w:noProof/>
        <w:lang w:val="tr-TR" w:eastAsia="tr-TR"/>
      </w:rPr>
      <w:drawing>
        <wp:inline distT="0" distB="0" distL="0" distR="0" wp14:anchorId="3A32074E" wp14:editId="2C4F1C85">
          <wp:extent cx="3171825" cy="790575"/>
          <wp:effectExtent l="0" t="0" r="9525" b="0"/>
          <wp:docPr id="4"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905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F33"/>
    <w:rsid w:val="003744A7"/>
    <w:rsid w:val="005F7215"/>
    <w:rsid w:val="00623EFA"/>
    <w:rsid w:val="0088289A"/>
    <w:rsid w:val="00CC3D6D"/>
    <w:rsid w:val="00D15F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8289A"/>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88289A"/>
  </w:style>
  <w:style w:type="paragraph" w:styleId="Altbilgi">
    <w:name w:val="footer"/>
    <w:basedOn w:val="Normal"/>
    <w:link w:val="AltbilgiChar"/>
    <w:uiPriority w:val="99"/>
    <w:unhideWhenUsed/>
    <w:rsid w:val="0088289A"/>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88289A"/>
  </w:style>
  <w:style w:type="paragraph" w:styleId="BalonMetni">
    <w:name w:val="Balloon Text"/>
    <w:basedOn w:val="Normal"/>
    <w:link w:val="BalonMetniChar"/>
    <w:uiPriority w:val="99"/>
    <w:semiHidden/>
    <w:unhideWhenUsed/>
    <w:rsid w:val="00623E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3E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8289A"/>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88289A"/>
  </w:style>
  <w:style w:type="paragraph" w:styleId="Altbilgi">
    <w:name w:val="footer"/>
    <w:basedOn w:val="Normal"/>
    <w:link w:val="AltbilgiChar"/>
    <w:uiPriority w:val="99"/>
    <w:unhideWhenUsed/>
    <w:rsid w:val="0088289A"/>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88289A"/>
  </w:style>
  <w:style w:type="paragraph" w:styleId="BalonMetni">
    <w:name w:val="Balloon Text"/>
    <w:basedOn w:val="Normal"/>
    <w:link w:val="BalonMetniChar"/>
    <w:uiPriority w:val="99"/>
    <w:semiHidden/>
    <w:unhideWhenUsed/>
    <w:rsid w:val="00623E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3E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2191</Words>
  <Characters>12490</Characters>
  <Application>Microsoft Office Word</Application>
  <DocSecurity>0</DocSecurity>
  <Lines>104</Lines>
  <Paragraphs>29</Paragraphs>
  <ScaleCrop>false</ScaleCrop>
  <Company/>
  <LinksUpToDate>false</LinksUpToDate>
  <CharactersWithSpaces>14652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Büşra</dc:creator>
  <cp:keywords/>
  <dc:description/>
  <cp:lastModifiedBy>Amber Eroyan</cp:lastModifiedBy>
  <cp:revision>5</cp:revision>
  <dcterms:created xsi:type="dcterms:W3CDTF">2021-11-22T11:40:00Z</dcterms:created>
  <dcterms:modified xsi:type="dcterms:W3CDTF">2021-11-22T12:58:00Z</dcterms:modified>
</cp:coreProperties>
</file>